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E2C2" w14:textId="78461035" w:rsidR="000F62AE" w:rsidRDefault="00A36A1E" w:rsidP="008F7D2A">
      <w:pPr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Cert Granted: </w:t>
      </w:r>
      <w:r w:rsidR="00A470B8" w:rsidRPr="00ED5647">
        <w:rPr>
          <w:rFonts w:ascii="Times New Roman" w:eastAsia="Times New Roman" w:hAnsi="Times New Roman" w:cs="Times New Roman"/>
          <w:szCs w:val="24"/>
        </w:rPr>
        <w:t xml:space="preserve">Revisiting </w:t>
      </w:r>
      <w:r w:rsidR="00A470B8" w:rsidRPr="00ED5647">
        <w:rPr>
          <w:rFonts w:ascii="Times New Roman" w:eastAsia="Times New Roman" w:hAnsi="Times New Roman" w:cs="Times New Roman"/>
          <w:i/>
          <w:iCs/>
          <w:szCs w:val="24"/>
        </w:rPr>
        <w:t>Henry Schein, Inc. v. Archer and White Sales, Inc</w:t>
      </w:r>
      <w:r w:rsidR="00A470B8" w:rsidRPr="00ED5647">
        <w:rPr>
          <w:rFonts w:ascii="Times New Roman" w:eastAsia="Times New Roman" w:hAnsi="Times New Roman" w:cs="Times New Roman"/>
          <w:i/>
          <w:iCs/>
          <w:szCs w:val="24"/>
        </w:rPr>
        <w:t>.</w:t>
      </w:r>
    </w:p>
    <w:p w14:paraId="078DEB54" w14:textId="077689FC" w:rsidR="008F7D2A" w:rsidRDefault="008F7D2A" w:rsidP="008F7D2A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By Veronica </w:t>
      </w:r>
      <w:proofErr w:type="spellStart"/>
      <w:r w:rsidR="00AB3B9B">
        <w:rPr>
          <w:rFonts w:ascii="Times New Roman" w:eastAsia="Times New Roman" w:hAnsi="Times New Roman" w:cs="Times New Roman"/>
          <w:szCs w:val="24"/>
        </w:rPr>
        <w:t>Leokadia</w:t>
      </w:r>
      <w:proofErr w:type="spellEnd"/>
      <w:r w:rsidR="00AB3B9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Dunlop</w:t>
      </w:r>
    </w:p>
    <w:p w14:paraId="22A6FBBC" w14:textId="0CD6BC04" w:rsidR="008F7D2A" w:rsidRPr="008F7D2A" w:rsidRDefault="008F7D2A" w:rsidP="008F7D2A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June 15, 2020</w:t>
      </w:r>
    </w:p>
    <w:p w14:paraId="1A31E08E" w14:textId="77777777" w:rsidR="008F7D2A" w:rsidRDefault="008F7D2A" w:rsidP="008F7D2A">
      <w:pPr>
        <w:rPr>
          <w:rFonts w:ascii="Times New Roman" w:eastAsia="Times New Roman" w:hAnsi="Times New Roman" w:cs="Times New Roman"/>
          <w:szCs w:val="24"/>
        </w:rPr>
      </w:pPr>
    </w:p>
    <w:p w14:paraId="2F72F670" w14:textId="0BAC776D" w:rsidR="008F7D2A" w:rsidRPr="00DF15CA" w:rsidRDefault="00CC209A" w:rsidP="00DF15C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Will </w:t>
      </w:r>
      <w:r w:rsidR="00DF15CA" w:rsidRPr="00ED5647">
        <w:rPr>
          <w:rFonts w:ascii="Times New Roman" w:eastAsia="Times New Roman" w:hAnsi="Times New Roman" w:cs="Times New Roman"/>
          <w:szCs w:val="24"/>
        </w:rPr>
        <w:t>SCOTUS d</w:t>
      </w:r>
      <w:r w:rsidR="00DF15CA" w:rsidRPr="00DF15CA">
        <w:rPr>
          <w:rFonts w:ascii="Times New Roman" w:eastAsia="Times New Roman" w:hAnsi="Times New Roman" w:cs="Times New Roman"/>
          <w:szCs w:val="24"/>
        </w:rPr>
        <w:t xml:space="preserve">ecide </w:t>
      </w:r>
      <w:r w:rsidR="00DF15CA" w:rsidRPr="00ED5647">
        <w:rPr>
          <w:rFonts w:ascii="Times New Roman" w:eastAsia="Times New Roman" w:hAnsi="Times New Roman" w:cs="Times New Roman"/>
          <w:szCs w:val="24"/>
        </w:rPr>
        <w:t>w</w:t>
      </w:r>
      <w:r w:rsidR="00DF15CA" w:rsidRPr="00DF15CA">
        <w:rPr>
          <w:rFonts w:ascii="Times New Roman" w:eastAsia="Times New Roman" w:hAnsi="Times New Roman" w:cs="Times New Roman"/>
          <w:szCs w:val="24"/>
        </w:rPr>
        <w:t>hether</w:t>
      </w:r>
      <w:r w:rsidR="00DF15CA" w:rsidRPr="00ED5647">
        <w:rPr>
          <w:rFonts w:ascii="Times New Roman" w:eastAsia="Times New Roman" w:hAnsi="Times New Roman" w:cs="Times New Roman"/>
          <w:szCs w:val="24"/>
        </w:rPr>
        <w:t xml:space="preserve"> a parties’ selection of arbitration rules which contain a</w:t>
      </w:r>
      <w:r w:rsidR="00DF15CA" w:rsidRPr="00DF15CA">
        <w:rPr>
          <w:rFonts w:ascii="Times New Roman" w:eastAsia="Times New Roman" w:hAnsi="Times New Roman" w:cs="Times New Roman"/>
          <w:szCs w:val="24"/>
        </w:rPr>
        <w:t xml:space="preserve"> </w:t>
      </w:r>
      <w:r w:rsidR="00DF15CA" w:rsidRPr="00ED5647">
        <w:rPr>
          <w:rFonts w:ascii="Times New Roman" w:eastAsia="Times New Roman" w:hAnsi="Times New Roman" w:cs="Times New Roman"/>
          <w:szCs w:val="24"/>
        </w:rPr>
        <w:t>c</w:t>
      </w:r>
      <w:r w:rsidR="00DF15CA" w:rsidRPr="00DF15CA">
        <w:rPr>
          <w:rFonts w:ascii="Times New Roman" w:eastAsia="Times New Roman" w:hAnsi="Times New Roman" w:cs="Times New Roman"/>
          <w:szCs w:val="24"/>
        </w:rPr>
        <w:t>ompetence-</w:t>
      </w:r>
      <w:r w:rsidR="00DF15CA" w:rsidRPr="00ED5647">
        <w:rPr>
          <w:rFonts w:ascii="Times New Roman" w:eastAsia="Times New Roman" w:hAnsi="Times New Roman" w:cs="Times New Roman"/>
          <w:szCs w:val="24"/>
        </w:rPr>
        <w:t>c</w:t>
      </w:r>
      <w:r w:rsidR="00DF15CA" w:rsidRPr="00DF15CA">
        <w:rPr>
          <w:rFonts w:ascii="Times New Roman" w:eastAsia="Times New Roman" w:hAnsi="Times New Roman" w:cs="Times New Roman"/>
          <w:szCs w:val="24"/>
        </w:rPr>
        <w:t>ompetence</w:t>
      </w:r>
      <w:r w:rsidR="00DF15CA" w:rsidRPr="00ED5647">
        <w:rPr>
          <w:rFonts w:ascii="Times New Roman" w:eastAsia="Times New Roman" w:hAnsi="Times New Roman" w:cs="Times New Roman"/>
          <w:szCs w:val="24"/>
        </w:rPr>
        <w:t xml:space="preserve"> clause</w:t>
      </w:r>
      <w:r w:rsidR="00DF15CA" w:rsidRPr="00DF15CA">
        <w:rPr>
          <w:rFonts w:ascii="Times New Roman" w:eastAsia="Times New Roman" w:hAnsi="Times New Roman" w:cs="Times New Roman"/>
          <w:szCs w:val="24"/>
        </w:rPr>
        <w:t xml:space="preserve"> </w:t>
      </w:r>
      <w:r w:rsidR="00DF15CA" w:rsidRPr="00ED5647">
        <w:rPr>
          <w:rFonts w:ascii="Times New Roman" w:eastAsia="Times New Roman" w:hAnsi="Times New Roman" w:cs="Times New Roman"/>
          <w:szCs w:val="24"/>
        </w:rPr>
        <w:t xml:space="preserve">constitutes </w:t>
      </w:r>
      <w:r w:rsidR="00DF15CA" w:rsidRPr="00DF15CA">
        <w:rPr>
          <w:rFonts w:ascii="Times New Roman" w:eastAsia="Times New Roman" w:hAnsi="Times New Roman" w:cs="Times New Roman"/>
          <w:szCs w:val="24"/>
        </w:rPr>
        <w:t>“</w:t>
      </w:r>
      <w:r w:rsidR="00DF15CA" w:rsidRPr="00ED5647">
        <w:rPr>
          <w:rFonts w:ascii="Times New Roman" w:eastAsia="Times New Roman" w:hAnsi="Times New Roman" w:cs="Times New Roman"/>
          <w:szCs w:val="24"/>
        </w:rPr>
        <w:t>c</w:t>
      </w:r>
      <w:r w:rsidR="00DF15CA" w:rsidRPr="00DF15CA">
        <w:rPr>
          <w:rFonts w:ascii="Times New Roman" w:eastAsia="Times New Roman" w:hAnsi="Times New Roman" w:cs="Times New Roman"/>
          <w:szCs w:val="24"/>
        </w:rPr>
        <w:t xml:space="preserve">lear and </w:t>
      </w:r>
      <w:r w:rsidR="00DF15CA" w:rsidRPr="00ED5647">
        <w:rPr>
          <w:rFonts w:ascii="Times New Roman" w:eastAsia="Times New Roman" w:hAnsi="Times New Roman" w:cs="Times New Roman"/>
          <w:szCs w:val="24"/>
        </w:rPr>
        <w:t>u</w:t>
      </w:r>
      <w:r w:rsidR="00DF15CA" w:rsidRPr="00DF15CA">
        <w:rPr>
          <w:rFonts w:ascii="Times New Roman" w:eastAsia="Times New Roman" w:hAnsi="Times New Roman" w:cs="Times New Roman"/>
          <w:szCs w:val="24"/>
        </w:rPr>
        <w:t xml:space="preserve">nmistakable” </w:t>
      </w:r>
      <w:r w:rsidR="00DF15CA" w:rsidRPr="00ED5647">
        <w:rPr>
          <w:rFonts w:ascii="Times New Roman" w:eastAsia="Times New Roman" w:hAnsi="Times New Roman" w:cs="Times New Roman"/>
          <w:szCs w:val="24"/>
        </w:rPr>
        <w:t>e</w:t>
      </w:r>
      <w:r w:rsidR="00DF15CA" w:rsidRPr="00DF15CA">
        <w:rPr>
          <w:rFonts w:ascii="Times New Roman" w:eastAsia="Times New Roman" w:hAnsi="Times New Roman" w:cs="Times New Roman"/>
          <w:szCs w:val="24"/>
        </w:rPr>
        <w:t xml:space="preserve">vidence of </w:t>
      </w:r>
      <w:r w:rsidR="00DF15CA" w:rsidRPr="00ED5647">
        <w:rPr>
          <w:rFonts w:ascii="Times New Roman" w:eastAsia="Times New Roman" w:hAnsi="Times New Roman" w:cs="Times New Roman"/>
          <w:szCs w:val="24"/>
        </w:rPr>
        <w:t>the parties’ i</w:t>
      </w:r>
      <w:r w:rsidR="00DF15CA" w:rsidRPr="00DF15CA">
        <w:rPr>
          <w:rFonts w:ascii="Times New Roman" w:eastAsia="Times New Roman" w:hAnsi="Times New Roman" w:cs="Times New Roman"/>
          <w:szCs w:val="24"/>
        </w:rPr>
        <w:t xml:space="preserve">ntent to </w:t>
      </w:r>
      <w:r w:rsidR="00DF15CA" w:rsidRPr="00ED5647">
        <w:rPr>
          <w:rFonts w:ascii="Times New Roman" w:eastAsia="Times New Roman" w:hAnsi="Times New Roman" w:cs="Times New Roman"/>
          <w:szCs w:val="24"/>
        </w:rPr>
        <w:t>a</w:t>
      </w:r>
      <w:r w:rsidR="00DF15CA" w:rsidRPr="00DF15CA">
        <w:rPr>
          <w:rFonts w:ascii="Times New Roman" w:eastAsia="Times New Roman" w:hAnsi="Times New Roman" w:cs="Times New Roman"/>
          <w:szCs w:val="24"/>
        </w:rPr>
        <w:t xml:space="preserve">rbitrate </w:t>
      </w:r>
      <w:r w:rsidR="00DF15CA" w:rsidRPr="00ED5647">
        <w:rPr>
          <w:rFonts w:ascii="Times New Roman" w:eastAsia="Times New Roman" w:hAnsi="Times New Roman" w:cs="Times New Roman"/>
          <w:szCs w:val="24"/>
        </w:rPr>
        <w:t>a</w:t>
      </w:r>
      <w:r w:rsidR="00DF15CA" w:rsidRPr="00DF15CA">
        <w:rPr>
          <w:rFonts w:ascii="Times New Roman" w:eastAsia="Times New Roman" w:hAnsi="Times New Roman" w:cs="Times New Roman"/>
          <w:szCs w:val="24"/>
        </w:rPr>
        <w:t>rbitrability</w:t>
      </w:r>
      <w:r>
        <w:rPr>
          <w:rFonts w:ascii="Times New Roman" w:eastAsia="Times New Roman" w:hAnsi="Times New Roman" w:cs="Times New Roman"/>
          <w:szCs w:val="24"/>
        </w:rPr>
        <w:t>?</w:t>
      </w:r>
    </w:p>
    <w:p w14:paraId="781392AC" w14:textId="12ED50DD" w:rsidR="00DF15CA" w:rsidRPr="00ED5647" w:rsidRDefault="00DF15CA" w:rsidP="00946E1C">
      <w:pPr>
        <w:rPr>
          <w:rFonts w:ascii="Times New Roman" w:eastAsia="Times New Roman" w:hAnsi="Times New Roman" w:cs="Times New Roman"/>
          <w:szCs w:val="24"/>
        </w:rPr>
      </w:pPr>
    </w:p>
    <w:p w14:paraId="3E08D63B" w14:textId="61BF32C7" w:rsidR="000F62AE" w:rsidRPr="00ED5647" w:rsidRDefault="002B4EFD" w:rsidP="00946E1C">
      <w:pPr>
        <w:rPr>
          <w:rFonts w:ascii="Times New Roman" w:eastAsia="Times New Roman" w:hAnsi="Times New Roman" w:cs="Times New Roman"/>
          <w:szCs w:val="24"/>
        </w:rPr>
      </w:pPr>
      <w:r w:rsidRPr="00ED5647">
        <w:rPr>
          <w:rFonts w:ascii="Times New Roman" w:eastAsia="Times New Roman" w:hAnsi="Times New Roman" w:cs="Times New Roman"/>
          <w:szCs w:val="24"/>
        </w:rPr>
        <w:t xml:space="preserve">The relevant portion of the arbitration clause </w:t>
      </w:r>
      <w:r w:rsidR="00420CD2">
        <w:rPr>
          <w:rFonts w:ascii="Times New Roman" w:eastAsia="Times New Roman" w:hAnsi="Times New Roman" w:cs="Times New Roman"/>
          <w:szCs w:val="24"/>
        </w:rPr>
        <w:t xml:space="preserve">at issue </w:t>
      </w:r>
      <w:r w:rsidRPr="00ED5647">
        <w:rPr>
          <w:rFonts w:ascii="Times New Roman" w:eastAsia="Times New Roman" w:hAnsi="Times New Roman" w:cs="Times New Roman"/>
          <w:szCs w:val="24"/>
        </w:rPr>
        <w:t xml:space="preserve">states: </w:t>
      </w:r>
    </w:p>
    <w:p w14:paraId="2EEE6540" w14:textId="740F672D" w:rsidR="002B4EFD" w:rsidRPr="00ED5647" w:rsidRDefault="002B4EFD" w:rsidP="000F62AE">
      <w:pPr>
        <w:ind w:left="720" w:right="1350"/>
        <w:rPr>
          <w:rFonts w:ascii="Times New Roman" w:eastAsia="Times New Roman" w:hAnsi="Times New Roman" w:cs="Times New Roman"/>
          <w:szCs w:val="24"/>
        </w:rPr>
      </w:pPr>
      <w:r w:rsidRPr="002B4EFD">
        <w:rPr>
          <w:rFonts w:ascii="Times New Roman" w:eastAsia="Times New Roman" w:hAnsi="Times New Roman" w:cs="Times New Roman"/>
          <w:szCs w:val="24"/>
        </w:rPr>
        <w:t>Any dispute arising under or related to this Agreement (except for actions seeking injunctive relief</w:t>
      </w:r>
      <w:r w:rsidRPr="00ED5647">
        <w:rPr>
          <w:rFonts w:ascii="Times New Roman" w:eastAsia="Times New Roman" w:hAnsi="Times New Roman" w:cs="Times New Roman"/>
          <w:szCs w:val="24"/>
        </w:rPr>
        <w:t xml:space="preserve"> </w:t>
      </w:r>
      <w:r w:rsidRPr="00ED5647">
        <w:rPr>
          <w:rFonts w:ascii="Times New Roman" w:eastAsia="Times New Roman" w:hAnsi="Times New Roman" w:cs="Times New Roman"/>
          <w:szCs w:val="24"/>
        </w:rPr>
        <w:t>and disputes related to trademarks, trade secrets, or other intellectual property of [Schein])</w:t>
      </w:r>
      <w:r w:rsidRPr="00ED5647">
        <w:rPr>
          <w:rFonts w:ascii="Times New Roman" w:eastAsia="Times New Roman" w:hAnsi="Times New Roman" w:cs="Times New Roman"/>
          <w:szCs w:val="24"/>
        </w:rPr>
        <w:t>,</w:t>
      </w:r>
      <w:r w:rsidRPr="002B4EFD">
        <w:rPr>
          <w:rFonts w:ascii="Times New Roman" w:eastAsia="Times New Roman" w:hAnsi="Times New Roman" w:cs="Times New Roman"/>
          <w:szCs w:val="24"/>
        </w:rPr>
        <w:t xml:space="preserve"> shall be resolved by binding arbitration in accordance with the arbitration rules of the American Arbitration Association…</w:t>
      </w:r>
    </w:p>
    <w:p w14:paraId="79F57275" w14:textId="4D9CED56" w:rsidR="002B4EFD" w:rsidRPr="00ED5647" w:rsidRDefault="002B4EFD" w:rsidP="00946E1C">
      <w:pPr>
        <w:rPr>
          <w:rFonts w:ascii="Times New Roman" w:eastAsia="Times New Roman" w:hAnsi="Times New Roman" w:cs="Times New Roman"/>
          <w:szCs w:val="24"/>
        </w:rPr>
      </w:pPr>
    </w:p>
    <w:p w14:paraId="1849CD3E" w14:textId="628512AC" w:rsidR="00301910" w:rsidRPr="00ED5647" w:rsidRDefault="00301910" w:rsidP="00946E1C">
      <w:pPr>
        <w:rPr>
          <w:rFonts w:ascii="Times New Roman" w:eastAsia="Times New Roman" w:hAnsi="Times New Roman" w:cs="Times New Roman"/>
          <w:szCs w:val="24"/>
        </w:rPr>
      </w:pPr>
      <w:r w:rsidRPr="00ED5647">
        <w:rPr>
          <w:rFonts w:ascii="Times New Roman" w:eastAsia="Times New Roman" w:hAnsi="Times New Roman" w:cs="Times New Roman"/>
          <w:szCs w:val="24"/>
        </w:rPr>
        <w:t xml:space="preserve">In his </w:t>
      </w:r>
      <w:hyperlink r:id="rId4" w:history="1">
        <w:r w:rsidRPr="00ED5647">
          <w:rPr>
            <w:rStyle w:val="Hyperlink"/>
            <w:rFonts w:ascii="Times New Roman" w:eastAsia="Times New Roman" w:hAnsi="Times New Roman" w:cs="Times New Roman"/>
            <w:szCs w:val="24"/>
          </w:rPr>
          <w:t>2018 Amicus Brief</w:t>
        </w:r>
      </w:hyperlink>
      <w:r w:rsidR="00ED5647" w:rsidRPr="00ED5647">
        <w:rPr>
          <w:rFonts w:ascii="Times New Roman" w:eastAsia="Times New Roman" w:hAnsi="Times New Roman" w:cs="Times New Roman"/>
          <w:szCs w:val="24"/>
        </w:rPr>
        <w:t xml:space="preserve"> in support of Respondent</w:t>
      </w:r>
      <w:r w:rsidRPr="00ED5647">
        <w:rPr>
          <w:rFonts w:ascii="Times New Roman" w:eastAsia="Times New Roman" w:hAnsi="Times New Roman" w:cs="Times New Roman"/>
          <w:szCs w:val="24"/>
        </w:rPr>
        <w:t xml:space="preserve">, Professor </w:t>
      </w:r>
      <w:r w:rsidRPr="00ED5647">
        <w:rPr>
          <w:rFonts w:ascii="Times New Roman" w:eastAsia="Times New Roman" w:hAnsi="Times New Roman" w:cs="Times New Roman"/>
          <w:szCs w:val="24"/>
        </w:rPr>
        <w:t xml:space="preserve">George A. </w:t>
      </w:r>
      <w:proofErr w:type="spellStart"/>
      <w:r w:rsidRPr="00ED5647">
        <w:rPr>
          <w:rFonts w:ascii="Times New Roman" w:eastAsia="Times New Roman" w:hAnsi="Times New Roman" w:cs="Times New Roman"/>
          <w:szCs w:val="24"/>
        </w:rPr>
        <w:t>Bermann</w:t>
      </w:r>
      <w:proofErr w:type="spellEnd"/>
      <w:r w:rsidRPr="00ED5647">
        <w:rPr>
          <w:rFonts w:ascii="Times New Roman" w:eastAsia="Times New Roman" w:hAnsi="Times New Roman" w:cs="Times New Roman"/>
          <w:szCs w:val="24"/>
        </w:rPr>
        <w:t xml:space="preserve"> of Columbia University stated that a </w:t>
      </w:r>
      <w:r w:rsidRPr="00946E1C">
        <w:rPr>
          <w:rFonts w:ascii="Times New Roman" w:eastAsia="Times New Roman" w:hAnsi="Times New Roman" w:cs="Times New Roman"/>
          <w:szCs w:val="24"/>
        </w:rPr>
        <w:t>majority of courts have found</w:t>
      </w:r>
      <w:r w:rsidRPr="00ED5647">
        <w:rPr>
          <w:rFonts w:ascii="Times New Roman" w:eastAsia="Times New Roman" w:hAnsi="Times New Roman" w:cs="Times New Roman"/>
          <w:szCs w:val="24"/>
        </w:rPr>
        <w:t xml:space="preserve"> that</w:t>
      </w:r>
      <w:r w:rsidRPr="00946E1C">
        <w:rPr>
          <w:rFonts w:ascii="Times New Roman" w:eastAsia="Times New Roman" w:hAnsi="Times New Roman" w:cs="Times New Roman"/>
          <w:szCs w:val="24"/>
        </w:rPr>
        <w:t xml:space="preserve"> the incorporation of rules containing </w:t>
      </w:r>
      <w:r w:rsidRPr="00ED5647">
        <w:rPr>
          <w:rFonts w:ascii="Times New Roman" w:eastAsia="Times New Roman" w:hAnsi="Times New Roman" w:cs="Times New Roman"/>
          <w:szCs w:val="24"/>
        </w:rPr>
        <w:t>a competence-competence provision</w:t>
      </w:r>
      <w:r w:rsidRPr="00946E1C">
        <w:rPr>
          <w:rFonts w:ascii="Times New Roman" w:eastAsia="Times New Roman" w:hAnsi="Times New Roman" w:cs="Times New Roman"/>
          <w:szCs w:val="24"/>
        </w:rPr>
        <w:t xml:space="preserve"> </w:t>
      </w:r>
      <w:r w:rsidRPr="00ED5647">
        <w:rPr>
          <w:rFonts w:ascii="Times New Roman" w:eastAsia="Times New Roman" w:hAnsi="Times New Roman" w:cs="Times New Roman"/>
          <w:szCs w:val="24"/>
        </w:rPr>
        <w:t>satisfies</w:t>
      </w:r>
      <w:r w:rsidRPr="00946E1C">
        <w:rPr>
          <w:rFonts w:ascii="Times New Roman" w:eastAsia="Times New Roman" w:hAnsi="Times New Roman" w:cs="Times New Roman"/>
          <w:szCs w:val="24"/>
        </w:rPr>
        <w:t xml:space="preserve"> </w:t>
      </w:r>
      <w:r w:rsidRPr="00ED5647">
        <w:rPr>
          <w:rFonts w:ascii="Times New Roman" w:eastAsia="Times New Roman" w:hAnsi="Times New Roman" w:cs="Times New Roman"/>
          <w:szCs w:val="24"/>
        </w:rPr>
        <w:t>the</w:t>
      </w:r>
      <w:r w:rsidRPr="00946E1C">
        <w:rPr>
          <w:rFonts w:ascii="Times New Roman" w:eastAsia="Times New Roman" w:hAnsi="Times New Roman" w:cs="Times New Roman"/>
          <w:szCs w:val="24"/>
        </w:rPr>
        <w:t xml:space="preserve"> “clear and unmistakable” evidence </w:t>
      </w:r>
      <w:r w:rsidRPr="00ED5647">
        <w:rPr>
          <w:rFonts w:ascii="Times New Roman" w:eastAsia="Times New Roman" w:hAnsi="Times New Roman" w:cs="Times New Roman"/>
          <w:szCs w:val="24"/>
        </w:rPr>
        <w:t xml:space="preserve">standard established by </w:t>
      </w:r>
      <w:r w:rsidRPr="00ED5647">
        <w:rPr>
          <w:rFonts w:ascii="Times New Roman" w:eastAsia="Times New Roman" w:hAnsi="Times New Roman" w:cs="Times New Roman"/>
          <w:i/>
          <w:iCs/>
          <w:szCs w:val="24"/>
        </w:rPr>
        <w:t>First Options</w:t>
      </w:r>
      <w:r w:rsidRPr="00ED5647">
        <w:rPr>
          <w:rFonts w:ascii="Times New Roman" w:eastAsia="Times New Roman" w:hAnsi="Times New Roman" w:cs="Times New Roman"/>
          <w:szCs w:val="24"/>
        </w:rPr>
        <w:t>. However,</w:t>
      </w:r>
      <w:r w:rsidRPr="00946E1C">
        <w:rPr>
          <w:rFonts w:ascii="Times New Roman" w:eastAsia="Times New Roman" w:hAnsi="Times New Roman" w:cs="Times New Roman"/>
          <w:szCs w:val="24"/>
        </w:rPr>
        <w:t xml:space="preserve"> the A</w:t>
      </w:r>
      <w:r w:rsidRPr="00ED5647">
        <w:rPr>
          <w:rFonts w:ascii="Times New Roman" w:eastAsia="Times New Roman" w:hAnsi="Times New Roman" w:cs="Times New Roman"/>
          <w:szCs w:val="24"/>
        </w:rPr>
        <w:t>merican L</w:t>
      </w:r>
      <w:r w:rsidR="004E397F">
        <w:rPr>
          <w:rFonts w:ascii="Times New Roman" w:eastAsia="Times New Roman" w:hAnsi="Times New Roman" w:cs="Times New Roman"/>
          <w:szCs w:val="24"/>
        </w:rPr>
        <w:t>aw</w:t>
      </w:r>
      <w:r w:rsidRPr="00ED5647">
        <w:rPr>
          <w:rFonts w:ascii="Times New Roman" w:eastAsia="Times New Roman" w:hAnsi="Times New Roman" w:cs="Times New Roman"/>
          <w:szCs w:val="24"/>
        </w:rPr>
        <w:t xml:space="preserve"> Institute’</w:t>
      </w:r>
      <w:r w:rsidRPr="00946E1C">
        <w:rPr>
          <w:rFonts w:ascii="Times New Roman" w:eastAsia="Times New Roman" w:hAnsi="Times New Roman" w:cs="Times New Roman"/>
          <w:szCs w:val="24"/>
        </w:rPr>
        <w:t>s</w:t>
      </w:r>
      <w:r w:rsidRPr="00ED5647">
        <w:rPr>
          <w:rFonts w:ascii="Times New Roman" w:eastAsia="Times New Roman" w:hAnsi="Times New Roman" w:cs="Times New Roman"/>
          <w:szCs w:val="24"/>
        </w:rPr>
        <w:t xml:space="preserve"> (“ALI”)</w:t>
      </w:r>
      <w:r w:rsidRPr="00946E1C">
        <w:rPr>
          <w:rFonts w:ascii="Times New Roman" w:eastAsia="Times New Roman" w:hAnsi="Times New Roman" w:cs="Times New Roman"/>
          <w:szCs w:val="24"/>
        </w:rPr>
        <w:t xml:space="preserve"> Restatement of the U.S. Law of International Commercial and Investor-State Arbitration </w:t>
      </w:r>
      <w:r w:rsidRPr="00ED5647">
        <w:rPr>
          <w:rFonts w:ascii="Times New Roman" w:eastAsia="Times New Roman" w:hAnsi="Times New Roman" w:cs="Times New Roman"/>
          <w:szCs w:val="24"/>
        </w:rPr>
        <w:t>concluded</w:t>
      </w:r>
      <w:r w:rsidRPr="00946E1C">
        <w:rPr>
          <w:rFonts w:ascii="Times New Roman" w:eastAsia="Times New Roman" w:hAnsi="Times New Roman" w:cs="Times New Roman"/>
          <w:szCs w:val="24"/>
        </w:rPr>
        <w:t xml:space="preserve"> that </w:t>
      </w:r>
      <w:r w:rsidRPr="00ED5647">
        <w:rPr>
          <w:rFonts w:ascii="Times New Roman" w:eastAsia="Times New Roman" w:hAnsi="Times New Roman" w:cs="Times New Roman"/>
          <w:szCs w:val="24"/>
        </w:rPr>
        <w:t>“</w:t>
      </w:r>
      <w:r w:rsidRPr="00946E1C">
        <w:rPr>
          <w:rFonts w:ascii="Times New Roman" w:eastAsia="Times New Roman" w:hAnsi="Times New Roman" w:cs="Times New Roman"/>
          <w:szCs w:val="24"/>
        </w:rPr>
        <w:t>these cases were incorrectly decided</w:t>
      </w:r>
      <w:r w:rsidRPr="00ED5647">
        <w:rPr>
          <w:rFonts w:ascii="Times New Roman" w:eastAsia="Times New Roman" w:hAnsi="Times New Roman" w:cs="Times New Roman"/>
          <w:szCs w:val="24"/>
        </w:rPr>
        <w:t>”</w:t>
      </w:r>
      <w:r w:rsidRPr="00946E1C">
        <w:rPr>
          <w:rFonts w:ascii="Times New Roman" w:eastAsia="Times New Roman" w:hAnsi="Times New Roman" w:cs="Times New Roman"/>
          <w:szCs w:val="24"/>
        </w:rPr>
        <w:t xml:space="preserve"> </w:t>
      </w:r>
      <w:r w:rsidRPr="00ED5647">
        <w:rPr>
          <w:rFonts w:ascii="Times New Roman" w:eastAsia="Times New Roman" w:hAnsi="Times New Roman" w:cs="Times New Roman"/>
          <w:szCs w:val="24"/>
        </w:rPr>
        <w:t>and the mere</w:t>
      </w:r>
      <w:r w:rsidRPr="00946E1C">
        <w:rPr>
          <w:rFonts w:ascii="Times New Roman" w:eastAsia="Times New Roman" w:hAnsi="Times New Roman" w:cs="Times New Roman"/>
          <w:szCs w:val="24"/>
        </w:rPr>
        <w:t xml:space="preserve"> incorporation of such rules </w:t>
      </w:r>
      <w:r w:rsidRPr="00ED5647">
        <w:rPr>
          <w:rFonts w:ascii="Times New Roman" w:eastAsia="Times New Roman" w:hAnsi="Times New Roman" w:cs="Times New Roman"/>
          <w:szCs w:val="24"/>
        </w:rPr>
        <w:t xml:space="preserve">is not a manifestation of the parties’ </w:t>
      </w:r>
      <w:r w:rsidRPr="00946E1C">
        <w:rPr>
          <w:rFonts w:ascii="Times New Roman" w:eastAsia="Times New Roman" w:hAnsi="Times New Roman" w:cs="Times New Roman"/>
          <w:szCs w:val="24"/>
        </w:rPr>
        <w:t xml:space="preserve">“clear and unmistakable” </w:t>
      </w:r>
      <w:r w:rsidRPr="00ED5647">
        <w:rPr>
          <w:rFonts w:ascii="Times New Roman" w:eastAsia="Times New Roman" w:hAnsi="Times New Roman" w:cs="Times New Roman"/>
          <w:szCs w:val="24"/>
        </w:rPr>
        <w:t>intent to arbitrate arbitrability</w:t>
      </w:r>
      <w:r w:rsidRPr="00946E1C">
        <w:rPr>
          <w:rFonts w:ascii="Times New Roman" w:eastAsia="Times New Roman" w:hAnsi="Times New Roman" w:cs="Times New Roman"/>
          <w:szCs w:val="24"/>
        </w:rPr>
        <w:t>.</w:t>
      </w:r>
      <w:r w:rsidRPr="00ED5647">
        <w:rPr>
          <w:rFonts w:ascii="Times New Roman" w:eastAsia="Times New Roman" w:hAnsi="Times New Roman" w:cs="Times New Roman"/>
          <w:szCs w:val="24"/>
        </w:rPr>
        <w:t xml:space="preserve"> Professor </w:t>
      </w:r>
      <w:proofErr w:type="spellStart"/>
      <w:r w:rsidRPr="00ED5647">
        <w:rPr>
          <w:rFonts w:ascii="Times New Roman" w:eastAsia="Times New Roman" w:hAnsi="Times New Roman" w:cs="Times New Roman"/>
          <w:szCs w:val="24"/>
        </w:rPr>
        <w:t>Bermann</w:t>
      </w:r>
      <w:proofErr w:type="spellEnd"/>
      <w:r w:rsidRPr="00ED5647">
        <w:rPr>
          <w:rFonts w:ascii="Times New Roman" w:eastAsia="Times New Roman" w:hAnsi="Times New Roman" w:cs="Times New Roman"/>
          <w:szCs w:val="24"/>
        </w:rPr>
        <w:t xml:space="preserve"> called upon the</w:t>
      </w:r>
      <w:r w:rsidR="000F62AE" w:rsidRPr="00ED5647">
        <w:rPr>
          <w:rFonts w:ascii="Times New Roman" w:eastAsia="Times New Roman" w:hAnsi="Times New Roman" w:cs="Times New Roman"/>
          <w:szCs w:val="24"/>
        </w:rPr>
        <w:t xml:space="preserve"> Supreme</w:t>
      </w:r>
      <w:r w:rsidRPr="00ED5647">
        <w:rPr>
          <w:rFonts w:ascii="Times New Roman" w:eastAsia="Times New Roman" w:hAnsi="Times New Roman" w:cs="Times New Roman"/>
          <w:szCs w:val="24"/>
        </w:rPr>
        <w:t xml:space="preserve"> Court</w:t>
      </w:r>
      <w:r w:rsidRPr="00946E1C">
        <w:rPr>
          <w:rFonts w:ascii="Times New Roman" w:eastAsia="Times New Roman" w:hAnsi="Times New Roman" w:cs="Times New Roman"/>
          <w:szCs w:val="24"/>
        </w:rPr>
        <w:t xml:space="preserve"> </w:t>
      </w:r>
      <w:r w:rsidRPr="00ED5647">
        <w:rPr>
          <w:rFonts w:ascii="Times New Roman" w:eastAsia="Times New Roman" w:hAnsi="Times New Roman" w:cs="Times New Roman"/>
          <w:szCs w:val="24"/>
        </w:rPr>
        <w:t>“</w:t>
      </w:r>
      <w:r w:rsidRPr="00946E1C">
        <w:rPr>
          <w:rFonts w:ascii="Times New Roman" w:eastAsia="Times New Roman" w:hAnsi="Times New Roman" w:cs="Times New Roman"/>
          <w:szCs w:val="24"/>
        </w:rPr>
        <w:t>to settle the meaning and application of the First Options test and thereby preserve the proper balance under federal law between the roles of courts and arbitrators in determining arbitrability.</w:t>
      </w:r>
      <w:r w:rsidRPr="00ED5647">
        <w:rPr>
          <w:rFonts w:ascii="Times New Roman" w:eastAsia="Times New Roman" w:hAnsi="Times New Roman" w:cs="Times New Roman"/>
          <w:szCs w:val="24"/>
        </w:rPr>
        <w:t>”</w:t>
      </w:r>
    </w:p>
    <w:p w14:paraId="39115544" w14:textId="77777777" w:rsidR="00301910" w:rsidRPr="00ED5647" w:rsidRDefault="00301910" w:rsidP="00946E1C">
      <w:pPr>
        <w:rPr>
          <w:rFonts w:ascii="Times New Roman" w:eastAsia="Times New Roman" w:hAnsi="Times New Roman" w:cs="Times New Roman"/>
          <w:szCs w:val="24"/>
        </w:rPr>
      </w:pPr>
    </w:p>
    <w:p w14:paraId="7C3F112C" w14:textId="717E1F17" w:rsidR="0061253D" w:rsidRPr="00ED5647" w:rsidRDefault="002B4EFD" w:rsidP="00ED5647">
      <w:pPr>
        <w:rPr>
          <w:rFonts w:ascii="Times New Roman" w:hAnsi="Times New Roman" w:cs="Times New Roman"/>
          <w:color w:val="000000" w:themeColor="text1"/>
          <w:szCs w:val="24"/>
        </w:rPr>
      </w:pPr>
      <w:r w:rsidRPr="00ED5647">
        <w:rPr>
          <w:rFonts w:ascii="Times New Roman" w:eastAsia="Times New Roman" w:hAnsi="Times New Roman" w:cs="Times New Roman"/>
          <w:szCs w:val="24"/>
        </w:rPr>
        <w:t xml:space="preserve">As explained in </w:t>
      </w:r>
      <w:r w:rsidR="00A470B8" w:rsidRPr="00ED5647">
        <w:rPr>
          <w:rFonts w:ascii="Times New Roman" w:eastAsia="Times New Roman" w:hAnsi="Times New Roman" w:cs="Times New Roman"/>
          <w:szCs w:val="24"/>
        </w:rPr>
        <w:t xml:space="preserve">a previous Kluwer Arbitration </w:t>
      </w:r>
      <w:hyperlink r:id="rId5" w:history="1">
        <w:r w:rsidR="00ED5647" w:rsidRPr="00ED5647">
          <w:rPr>
            <w:rStyle w:val="Hyperlink"/>
            <w:rFonts w:ascii="Times New Roman" w:eastAsia="Times New Roman" w:hAnsi="Times New Roman" w:cs="Times New Roman"/>
            <w:szCs w:val="24"/>
          </w:rPr>
          <w:t>Blog Post</w:t>
        </w:r>
      </w:hyperlink>
      <w:r w:rsidRPr="00ED5647">
        <w:rPr>
          <w:rFonts w:ascii="Times New Roman" w:eastAsia="Times New Roman" w:hAnsi="Times New Roman" w:cs="Times New Roman"/>
          <w:szCs w:val="24"/>
        </w:rPr>
        <w:t xml:space="preserve">, in </w:t>
      </w:r>
      <w:r w:rsidRPr="00ED5647">
        <w:rPr>
          <w:rFonts w:ascii="Times New Roman" w:eastAsia="Times New Roman" w:hAnsi="Times New Roman" w:cs="Times New Roman"/>
          <w:szCs w:val="24"/>
        </w:rPr>
        <w:t xml:space="preserve">January of </w:t>
      </w:r>
      <w:r w:rsidRPr="00ED5647">
        <w:rPr>
          <w:rFonts w:ascii="Times New Roman" w:eastAsia="Times New Roman" w:hAnsi="Times New Roman" w:cs="Times New Roman"/>
          <w:szCs w:val="24"/>
        </w:rPr>
        <w:t>2019 the</w:t>
      </w:r>
      <w:r w:rsidRPr="00ED5647">
        <w:rPr>
          <w:rFonts w:ascii="Times New Roman" w:eastAsia="Times New Roman" w:hAnsi="Times New Roman" w:cs="Times New Roman"/>
          <w:szCs w:val="24"/>
        </w:rPr>
        <w:t xml:space="preserve"> Supreme</w:t>
      </w:r>
      <w:r w:rsidRPr="00ED5647">
        <w:rPr>
          <w:rFonts w:ascii="Times New Roman" w:eastAsia="Times New Roman" w:hAnsi="Times New Roman" w:cs="Times New Roman"/>
          <w:szCs w:val="24"/>
        </w:rPr>
        <w:t xml:space="preserve"> Court </w:t>
      </w:r>
      <w:r w:rsidR="007D3D77">
        <w:rPr>
          <w:rFonts w:ascii="Times New Roman" w:eastAsia="Times New Roman" w:hAnsi="Times New Roman" w:cs="Times New Roman"/>
          <w:szCs w:val="24"/>
        </w:rPr>
        <w:t xml:space="preserve">did not settle the meaning and application of the First Options rule. Instead, it </w:t>
      </w:r>
      <w:r w:rsidRPr="00ED5647">
        <w:rPr>
          <w:rFonts w:ascii="Times New Roman" w:eastAsia="Times New Roman" w:hAnsi="Times New Roman" w:cs="Times New Roman"/>
          <w:szCs w:val="24"/>
        </w:rPr>
        <w:t>held that “when the parties’ contract delegates the arbitrability question to an arbitrator, a court may not override the contract, even if the court thinks that the arbitrability claim is wholly groundless.”</w:t>
      </w:r>
      <w:r w:rsidRPr="00ED5647">
        <w:rPr>
          <w:rFonts w:ascii="Times New Roman" w:eastAsia="Times New Roman" w:hAnsi="Times New Roman" w:cs="Times New Roman"/>
          <w:szCs w:val="24"/>
        </w:rPr>
        <w:t xml:space="preserve"> </w:t>
      </w:r>
      <w:r w:rsidR="00ED5647" w:rsidRPr="00ED5647">
        <w:rPr>
          <w:rFonts w:ascii="Times New Roman" w:eastAsia="Times New Roman" w:hAnsi="Times New Roman" w:cs="Times New Roman"/>
          <w:color w:val="000000" w:themeColor="text1"/>
          <w:szCs w:val="24"/>
        </w:rPr>
        <w:t>By</w:t>
      </w:r>
      <w:r w:rsidR="000F62AE" w:rsidRPr="00ED5647">
        <w:rPr>
          <w:rFonts w:ascii="Times New Roman" w:hAnsi="Times New Roman" w:cs="Times New Roman"/>
          <w:color w:val="000000" w:themeColor="text1"/>
          <w:szCs w:val="24"/>
        </w:rPr>
        <w:t xml:space="preserve"> rejecting the “wholly groundless” exception, the Court </w:t>
      </w:r>
      <w:r w:rsidR="00ED5647">
        <w:rPr>
          <w:rFonts w:ascii="Times New Roman" w:hAnsi="Times New Roman" w:cs="Times New Roman"/>
          <w:color w:val="000000" w:themeColor="text1"/>
          <w:szCs w:val="24"/>
        </w:rPr>
        <w:t>avoided deciding whether</w:t>
      </w:r>
      <w:r w:rsidR="000F62AE" w:rsidRPr="00ED5647">
        <w:rPr>
          <w:rFonts w:ascii="Times New Roman" w:hAnsi="Times New Roman" w:cs="Times New Roman"/>
          <w:color w:val="000000" w:themeColor="text1"/>
          <w:szCs w:val="24"/>
        </w:rPr>
        <w:t xml:space="preserve"> “the contract at issue in this case in fact delegated the arbitrability question to an arbitrator.” </w:t>
      </w:r>
      <w:r w:rsidR="00ED5647">
        <w:rPr>
          <w:rFonts w:ascii="Times New Roman" w:hAnsi="Times New Roman" w:cs="Times New Roman"/>
          <w:color w:val="000000" w:themeColor="text1"/>
          <w:szCs w:val="24"/>
        </w:rPr>
        <w:t>Thus,</w:t>
      </w:r>
      <w:r w:rsidR="000F62AE" w:rsidRPr="00ED5647">
        <w:rPr>
          <w:rFonts w:ascii="Times New Roman" w:hAnsi="Times New Roman" w:cs="Times New Roman"/>
          <w:color w:val="000000" w:themeColor="text1"/>
          <w:szCs w:val="24"/>
        </w:rPr>
        <w:t xml:space="preserve"> the Court did not address </w:t>
      </w:r>
      <w:r w:rsidR="00ED5647" w:rsidRPr="00ED5647">
        <w:rPr>
          <w:rFonts w:ascii="Times New Roman" w:hAnsi="Times New Roman" w:cs="Times New Roman"/>
          <w:color w:val="000000" w:themeColor="text1"/>
          <w:szCs w:val="24"/>
        </w:rPr>
        <w:t>the</w:t>
      </w:r>
      <w:r w:rsidR="000F62AE" w:rsidRPr="00ED5647">
        <w:rPr>
          <w:rFonts w:ascii="Times New Roman" w:hAnsi="Times New Roman" w:cs="Times New Roman"/>
          <w:color w:val="000000" w:themeColor="text1"/>
          <w:szCs w:val="24"/>
        </w:rPr>
        <w:t xml:space="preserve"> arbitrability </w:t>
      </w:r>
      <w:r w:rsidR="00ED5647" w:rsidRPr="00ED5647">
        <w:rPr>
          <w:rFonts w:ascii="Times New Roman" w:hAnsi="Times New Roman" w:cs="Times New Roman"/>
          <w:color w:val="000000" w:themeColor="text1"/>
          <w:szCs w:val="24"/>
        </w:rPr>
        <w:t xml:space="preserve">question posed by Professor </w:t>
      </w:r>
      <w:proofErr w:type="spellStart"/>
      <w:r w:rsidR="00ED5647" w:rsidRPr="00ED5647">
        <w:rPr>
          <w:rFonts w:ascii="Times New Roman" w:hAnsi="Times New Roman" w:cs="Times New Roman"/>
          <w:color w:val="000000" w:themeColor="text1"/>
          <w:szCs w:val="24"/>
        </w:rPr>
        <w:t>Bermann</w:t>
      </w:r>
      <w:proofErr w:type="spellEnd"/>
      <w:r w:rsidR="00ED5647" w:rsidRPr="00ED5647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  <w:r w:rsidR="000F62AE" w:rsidRPr="00ED5647">
        <w:rPr>
          <w:rFonts w:ascii="Times New Roman" w:hAnsi="Times New Roman" w:cs="Times New Roman"/>
          <w:color w:val="000000" w:themeColor="text1"/>
          <w:szCs w:val="24"/>
        </w:rPr>
        <w:t>“whether the incorporation in a contract of arbitral rules containing a provision empowering a tribunal to determine its own jurisdiction satisfies the ‘clear and unmistakable’ evidence test.”</w:t>
      </w:r>
    </w:p>
    <w:p w14:paraId="419F2ECC" w14:textId="77777777" w:rsidR="000F62AE" w:rsidRPr="00ED5647" w:rsidRDefault="000F62AE" w:rsidP="00946E1C">
      <w:pPr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54A9C75" w14:textId="494A6A8D" w:rsidR="006E0AB7" w:rsidRPr="0000419E" w:rsidRDefault="002B4EFD">
      <w:pPr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ED564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This has been an ongoing </w:t>
      </w:r>
      <w:r w:rsidR="00A7644F">
        <w:rPr>
          <w:rFonts w:ascii="Times New Roman" w:eastAsia="Times New Roman" w:hAnsi="Times New Roman" w:cs="Times New Roman"/>
          <w:color w:val="000000" w:themeColor="text1"/>
          <w:szCs w:val="24"/>
        </w:rPr>
        <w:t>debate</w:t>
      </w:r>
      <w:r w:rsidR="0061253D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in the arbitration world</w:t>
      </w:r>
      <w:r w:rsidRPr="00ED564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, with Professor </w:t>
      </w:r>
      <w:proofErr w:type="spellStart"/>
      <w:r w:rsidRPr="00ED5647">
        <w:rPr>
          <w:rFonts w:ascii="Times New Roman" w:eastAsia="Times New Roman" w:hAnsi="Times New Roman" w:cs="Times New Roman"/>
          <w:color w:val="000000" w:themeColor="text1"/>
          <w:szCs w:val="24"/>
        </w:rPr>
        <w:t>Bermann</w:t>
      </w:r>
      <w:proofErr w:type="spellEnd"/>
      <w:r w:rsidRPr="00ED564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and the </w:t>
      </w:r>
      <w:r w:rsidR="004E397F">
        <w:rPr>
          <w:rFonts w:ascii="Times New Roman" w:eastAsia="Times New Roman" w:hAnsi="Times New Roman" w:cs="Times New Roman"/>
          <w:color w:val="000000" w:themeColor="text1"/>
          <w:szCs w:val="24"/>
        </w:rPr>
        <w:t>ALI</w:t>
      </w:r>
      <w:r w:rsidRPr="00ED564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on one side and the majority of U.S. courts on the other. </w:t>
      </w:r>
      <w:r w:rsidR="0000419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On June 15, 2020 the </w:t>
      </w:r>
      <w:r w:rsidR="00382663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Supreme </w:t>
      </w:r>
      <w:r w:rsidR="0000419E">
        <w:rPr>
          <w:rFonts w:ascii="Times New Roman" w:eastAsia="Times New Roman" w:hAnsi="Times New Roman" w:cs="Times New Roman"/>
          <w:color w:val="000000" w:themeColor="text1"/>
          <w:szCs w:val="24"/>
        </w:rPr>
        <w:t>Court granted</w:t>
      </w:r>
      <w:r w:rsidRPr="00ED564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5C49D9">
        <w:rPr>
          <w:rFonts w:ascii="Times New Roman" w:eastAsia="Times New Roman" w:hAnsi="Times New Roman" w:cs="Times New Roman"/>
          <w:i/>
          <w:iCs/>
          <w:color w:val="000000" w:themeColor="text1"/>
          <w:szCs w:val="24"/>
        </w:rPr>
        <w:t>certiorari</w:t>
      </w:r>
      <w:r w:rsidRPr="00ED564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00419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to decide </w:t>
      </w:r>
      <w:r w:rsidR="007D3D77">
        <w:rPr>
          <w:rFonts w:ascii="Times New Roman" w:eastAsia="Times New Roman" w:hAnsi="Times New Roman" w:cs="Times New Roman"/>
          <w:color w:val="000000" w:themeColor="text1"/>
          <w:szCs w:val="24"/>
        </w:rPr>
        <w:t>“</w:t>
      </w:r>
      <w:r w:rsidR="0000419E">
        <w:rPr>
          <w:rFonts w:ascii="Times New Roman" w:eastAsia="Times New Roman" w:hAnsi="Times New Roman" w:cs="Times New Roman"/>
          <w:color w:val="000000" w:themeColor="text1"/>
          <w:szCs w:val="24"/>
        </w:rPr>
        <w:t>w</w:t>
      </w:r>
      <w:r w:rsidR="0000419E" w:rsidRPr="0000419E">
        <w:rPr>
          <w:rFonts w:ascii="Times New Roman" w:eastAsia="Times New Roman" w:hAnsi="Times New Roman" w:cs="Times New Roman"/>
          <w:color w:val="000000" w:themeColor="text1"/>
          <w:szCs w:val="24"/>
        </w:rPr>
        <w:t>hether a provision in an arbitration agreement that exempts certain claims from arbitration negates an otherwise clear and unmistakable delegation of questions of arbitrability to an arbitrator</w:t>
      </w:r>
      <w:r w:rsidR="007D3D77">
        <w:rPr>
          <w:rFonts w:ascii="Times New Roman" w:eastAsia="Times New Roman" w:hAnsi="Times New Roman" w:cs="Times New Roman"/>
          <w:color w:val="000000" w:themeColor="text1"/>
          <w:szCs w:val="24"/>
        </w:rPr>
        <w:t>.”</w:t>
      </w:r>
      <w:r w:rsidR="00265F3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Although the Court has narrowed the issue to address only </w:t>
      </w:r>
      <w:r w:rsidR="007613BA">
        <w:rPr>
          <w:rFonts w:ascii="Times New Roman" w:eastAsia="Times New Roman" w:hAnsi="Times New Roman" w:cs="Times New Roman"/>
          <w:color w:val="000000" w:themeColor="text1"/>
          <w:szCs w:val="24"/>
        </w:rPr>
        <w:t>whether the</w:t>
      </w:r>
      <w:r w:rsidR="00265F3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exempt</w:t>
      </w:r>
      <w:r w:rsidR="007613BA">
        <w:rPr>
          <w:rFonts w:ascii="Times New Roman" w:eastAsia="Times New Roman" w:hAnsi="Times New Roman" w:cs="Times New Roman"/>
          <w:color w:val="000000" w:themeColor="text1"/>
          <w:szCs w:val="24"/>
        </w:rPr>
        <w:t>ion</w:t>
      </w:r>
      <w:r w:rsidR="00265F3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C20A16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of </w:t>
      </w:r>
      <w:r w:rsidR="00265F39">
        <w:rPr>
          <w:rFonts w:ascii="Times New Roman" w:eastAsia="Times New Roman" w:hAnsi="Times New Roman" w:cs="Times New Roman"/>
          <w:color w:val="000000" w:themeColor="text1"/>
          <w:szCs w:val="24"/>
        </w:rPr>
        <w:t>specific claims from arbitration</w:t>
      </w:r>
      <w:r w:rsidR="007613B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negates a “clear and unmistakable delegation of questions of arbitrability to the arbitrator,”</w:t>
      </w:r>
      <w:r w:rsidR="00265F3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hopefully they will also clarify </w:t>
      </w:r>
      <w:r w:rsidR="00CE5D58">
        <w:rPr>
          <w:rFonts w:ascii="Times New Roman" w:eastAsia="Times New Roman" w:hAnsi="Times New Roman" w:cs="Times New Roman"/>
          <w:color w:val="000000" w:themeColor="text1"/>
          <w:szCs w:val="24"/>
        </w:rPr>
        <w:t>whether reference to rules containing a competence-competence provision</w:t>
      </w:r>
      <w:r w:rsidR="007613B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265F3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constitutes </w:t>
      </w:r>
      <w:r w:rsidR="007613BA">
        <w:rPr>
          <w:rFonts w:ascii="Times New Roman" w:eastAsia="Times New Roman" w:hAnsi="Times New Roman" w:cs="Times New Roman"/>
          <w:color w:val="000000" w:themeColor="text1"/>
          <w:szCs w:val="24"/>
        </w:rPr>
        <w:t>such a delegation. Thus, it</w:t>
      </w:r>
      <w:r w:rsidR="0000419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seems that </w:t>
      </w:r>
      <w:r w:rsidR="007613B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we </w:t>
      </w:r>
      <w:r w:rsidR="00CC209A">
        <w:rPr>
          <w:rFonts w:ascii="Times New Roman" w:eastAsia="Times New Roman" w:hAnsi="Times New Roman" w:cs="Times New Roman"/>
          <w:color w:val="000000" w:themeColor="text1"/>
          <w:szCs w:val="24"/>
        </w:rPr>
        <w:t>may</w:t>
      </w:r>
      <w:r w:rsidR="007613B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soon</w:t>
      </w:r>
      <w:r w:rsidRPr="00ED564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have a</w:t>
      </w:r>
      <w:r w:rsidR="005C49D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n answer to </w:t>
      </w:r>
      <w:r w:rsidR="000B0224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Professor </w:t>
      </w:r>
      <w:proofErr w:type="spellStart"/>
      <w:r w:rsidR="000B0224">
        <w:rPr>
          <w:rFonts w:ascii="Times New Roman" w:eastAsia="Times New Roman" w:hAnsi="Times New Roman" w:cs="Times New Roman"/>
          <w:color w:val="000000" w:themeColor="text1"/>
          <w:szCs w:val="24"/>
        </w:rPr>
        <w:t>Bermann’s</w:t>
      </w:r>
      <w:proofErr w:type="spellEnd"/>
      <w:r w:rsidR="000B0224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question. </w:t>
      </w:r>
    </w:p>
    <w:sectPr w:rsidR="006E0AB7" w:rsidRPr="0000419E" w:rsidSect="0050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1C"/>
    <w:rsid w:val="0000419E"/>
    <w:rsid w:val="000A2C02"/>
    <w:rsid w:val="000B0224"/>
    <w:rsid w:val="000F62AE"/>
    <w:rsid w:val="00122B4E"/>
    <w:rsid w:val="00265F39"/>
    <w:rsid w:val="002A0756"/>
    <w:rsid w:val="002B4EFD"/>
    <w:rsid w:val="00301910"/>
    <w:rsid w:val="00321070"/>
    <w:rsid w:val="00335022"/>
    <w:rsid w:val="00382663"/>
    <w:rsid w:val="003D2F86"/>
    <w:rsid w:val="003E7253"/>
    <w:rsid w:val="00420CD2"/>
    <w:rsid w:val="0044430D"/>
    <w:rsid w:val="004E397F"/>
    <w:rsid w:val="004E7CF1"/>
    <w:rsid w:val="005025FE"/>
    <w:rsid w:val="00565C8F"/>
    <w:rsid w:val="005A488E"/>
    <w:rsid w:val="005C49D9"/>
    <w:rsid w:val="0061253D"/>
    <w:rsid w:val="0065439B"/>
    <w:rsid w:val="006E05DC"/>
    <w:rsid w:val="006E4468"/>
    <w:rsid w:val="007613BA"/>
    <w:rsid w:val="00766723"/>
    <w:rsid w:val="007D3D77"/>
    <w:rsid w:val="008C5A39"/>
    <w:rsid w:val="008F7D2A"/>
    <w:rsid w:val="009162ED"/>
    <w:rsid w:val="00927D5A"/>
    <w:rsid w:val="00946E1C"/>
    <w:rsid w:val="009739BD"/>
    <w:rsid w:val="00A36A1E"/>
    <w:rsid w:val="00A470B8"/>
    <w:rsid w:val="00A75B43"/>
    <w:rsid w:val="00A7644F"/>
    <w:rsid w:val="00AB3B9B"/>
    <w:rsid w:val="00C0360D"/>
    <w:rsid w:val="00C20A16"/>
    <w:rsid w:val="00C547C9"/>
    <w:rsid w:val="00CC209A"/>
    <w:rsid w:val="00CE5D58"/>
    <w:rsid w:val="00D87856"/>
    <w:rsid w:val="00DA2620"/>
    <w:rsid w:val="00DF15CA"/>
    <w:rsid w:val="00E12951"/>
    <w:rsid w:val="00ED5647"/>
    <w:rsid w:val="00F52B62"/>
    <w:rsid w:val="00F703C6"/>
    <w:rsid w:val="00F70AE1"/>
    <w:rsid w:val="00FD61C4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5195"/>
  <w14:defaultImageDpi w14:val="32767"/>
  <w15:chartTrackingRefBased/>
  <w15:docId w15:val="{C073053F-678B-1042-959C-F1E0CC13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rial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7856"/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E1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F1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F15C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F62A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D5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ationblog.kluwerarbitration.com/2019/01/23/schein-inc-v-archer-white-sales-inc-upholding-principles-of-arbitration-but-leaving-open-question-regarding-competence-competence-in-arbitral-rules-as-clear-and-unmistakable/?doing_wp_cron=1592073093.4903399944305419921875" TargetMode="External"/><Relationship Id="rId4" Type="http://schemas.openxmlformats.org/officeDocument/2006/relationships/hyperlink" Target="https://www.supremecourt.gov/DocketPDF/17/17-1272/65270/20181001112810079_REPRINT%20Amicus-G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Dunlop</dc:creator>
  <cp:keywords/>
  <dc:description/>
  <cp:lastModifiedBy>Veronica Dunlop</cp:lastModifiedBy>
  <cp:revision>36</cp:revision>
  <dcterms:created xsi:type="dcterms:W3CDTF">2020-06-13T18:32:00Z</dcterms:created>
  <dcterms:modified xsi:type="dcterms:W3CDTF">2020-06-15T16:59:00Z</dcterms:modified>
</cp:coreProperties>
</file>