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9A774" w14:textId="3551DFA0" w:rsidR="00464F5C" w:rsidRPr="00464F5C" w:rsidRDefault="00464F5C" w:rsidP="00464F5C">
      <w:pPr>
        <w:spacing w:before="100" w:beforeAutospacing="1" w:after="100" w:afterAutospacing="1" w:line="240" w:lineRule="auto"/>
        <w:rPr>
          <w:rFonts w:ascii="Arial" w:eastAsia="Times New Roman" w:hAnsi="Arial" w:cs="Arial"/>
          <w:color w:val="000000"/>
          <w:kern w:val="0"/>
          <w:lang w:eastAsia="en-GB"/>
        </w:rPr>
      </w:pPr>
      <w:r w:rsidRPr="00687BBD">
        <w:rPr>
          <w:rFonts w:ascii="Arial" w:eastAsia="Times New Roman" w:hAnsi="Arial" w:cs="Arial"/>
          <w:b/>
          <w:bCs/>
          <w:color w:val="000000"/>
          <w:kern w:val="0"/>
          <w:lang w:eastAsia="en-GB"/>
        </w:rPr>
        <w:t xml:space="preserve">DR </w:t>
      </w:r>
      <w:r w:rsidRPr="00464F5C">
        <w:rPr>
          <w:rFonts w:ascii="Arial" w:eastAsia="Times New Roman" w:hAnsi="Arial" w:cs="Arial"/>
          <w:b/>
          <w:bCs/>
          <w:color w:val="000000"/>
          <w:kern w:val="0"/>
          <w:lang w:eastAsia="en-GB"/>
        </w:rPr>
        <w:t xml:space="preserve">DAWN </w:t>
      </w:r>
      <w:r w:rsidRPr="00687BBD">
        <w:rPr>
          <w:rFonts w:ascii="Arial" w:eastAsia="Times New Roman" w:hAnsi="Arial" w:cs="Arial"/>
          <w:b/>
          <w:bCs/>
          <w:color w:val="000000"/>
          <w:kern w:val="0"/>
          <w:lang w:eastAsia="en-GB"/>
        </w:rPr>
        <w:t>DE COTEAU</w:t>
      </w:r>
      <w:r w:rsidRPr="00464F5C">
        <w:rPr>
          <w:rFonts w:ascii="Arial" w:eastAsia="Times New Roman" w:hAnsi="Arial" w:cs="Arial"/>
          <w:color w:val="000000"/>
          <w:kern w:val="0"/>
          <w:lang w:eastAsia="en-GB"/>
        </w:rPr>
        <w:br/>
      </w:r>
      <w:r w:rsidRPr="00464F5C">
        <w:rPr>
          <w:rFonts w:ascii="Arial" w:eastAsia="Times New Roman" w:hAnsi="Arial" w:cs="Arial"/>
          <w:i/>
          <w:iCs/>
          <w:color w:val="000000"/>
          <w:kern w:val="0"/>
          <w:lang w:eastAsia="en-GB"/>
        </w:rPr>
        <w:t>International Legal Practitioner | Arbitrator | Mediator | Consultant</w:t>
      </w:r>
    </w:p>
    <w:p w14:paraId="71B9C5C9"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7C02A498">
          <v:rect id="_x0000_i1033" alt="" style="width:451.3pt;height:.05pt;mso-width-percent:0;mso-height-percent:0;mso-width-percent:0;mso-height-percent:0" o:hralign="center" o:hrstd="t" o:hr="t" fillcolor="#a0a0a0" stroked="f"/>
        </w:pict>
      </w:r>
    </w:p>
    <w:p w14:paraId="7EE59625"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PROFESSIONAL PROFILE</w:t>
      </w:r>
    </w:p>
    <w:p w14:paraId="48BDF976" w14:textId="77777777" w:rsidR="00464F5C" w:rsidRPr="00464F5C" w:rsidRDefault="00464F5C" w:rsidP="00464F5C">
      <w:p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A highly accomplished legal professional with extensive cross-jurisdictional experience in </w:t>
      </w:r>
      <w:r w:rsidRPr="00464F5C">
        <w:rPr>
          <w:rFonts w:ascii="Arial" w:eastAsia="Times New Roman" w:hAnsi="Arial" w:cs="Arial"/>
          <w:b/>
          <w:bCs/>
          <w:color w:val="000000"/>
          <w:kern w:val="0"/>
          <w:lang w:eastAsia="en-GB"/>
        </w:rPr>
        <w:t>mediation, arbitration, and dispute resolution</w:t>
      </w:r>
      <w:r w:rsidRPr="00464F5C">
        <w:rPr>
          <w:rFonts w:ascii="Arial" w:eastAsia="Times New Roman" w:hAnsi="Arial" w:cs="Arial"/>
          <w:color w:val="000000"/>
          <w:kern w:val="0"/>
          <w:lang w:eastAsia="en-GB"/>
        </w:rPr>
        <w:t>, offering a unique blend of academic excellence, legal expertise, and strategic consultancy. Qualified in multiple jurisdictions including England &amp; Wales and the Caribbean, and a Fellow of the Chartered Institute of Arbitrators (CIArb). Proven track record of resolving complex civil, commercial, maritime, and family disputes through both adjudicative and non-adjudicative processes. Recognized for excellence in advocacy, negotiation, governance, and compliance with a culturally informed, ethical approach.</w:t>
      </w:r>
    </w:p>
    <w:p w14:paraId="3B17ECA0"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0C7155BB">
          <v:rect id="_x0000_i1032" alt="" style="width:451.3pt;height:.05pt;mso-width-percent:0;mso-height-percent:0;mso-width-percent:0;mso-height-percent:0" o:hralign="center" o:hrstd="t" o:hr="t" fillcolor="#a0a0a0" stroked="f"/>
        </w:pict>
      </w:r>
    </w:p>
    <w:p w14:paraId="1FDD77EA"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KEY AREAS OF EXPERTISE</w:t>
      </w:r>
    </w:p>
    <w:p w14:paraId="0E4E11EB"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Mediation &amp; Alternative Dispute Resolution (ADR)</w:t>
      </w:r>
    </w:p>
    <w:p w14:paraId="641229E7"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Arbitration (Domestic and International)</w:t>
      </w:r>
    </w:p>
    <w:p w14:paraId="27DE7257"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Civil &amp; Commercial Litigation</w:t>
      </w:r>
    </w:p>
    <w:p w14:paraId="1BD52AE8"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Maritime &amp; Yachting Law</w:t>
      </w:r>
    </w:p>
    <w:p w14:paraId="5BDBBBB4"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Family Disputes &amp; Collaborative Law</w:t>
      </w:r>
    </w:p>
    <w:p w14:paraId="17BCD5CA"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Trusts, Wills &amp; Estates</w:t>
      </w:r>
    </w:p>
    <w:p w14:paraId="4262615A"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Corporate &amp; Regulatory Compliance</w:t>
      </w:r>
    </w:p>
    <w:p w14:paraId="533D91A9"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Governance and Public Sector Consultancy</w:t>
      </w:r>
    </w:p>
    <w:p w14:paraId="7C09E3AC"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International Legal Advisory</w:t>
      </w:r>
    </w:p>
    <w:p w14:paraId="2270312D" w14:textId="77777777" w:rsidR="00464F5C" w:rsidRPr="00464F5C" w:rsidRDefault="00464F5C" w:rsidP="00464F5C">
      <w:pPr>
        <w:numPr>
          <w:ilvl w:val="0"/>
          <w:numId w:val="1"/>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Project Management &amp; Legal Strategy</w:t>
      </w:r>
    </w:p>
    <w:p w14:paraId="451B5035"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72F299CF">
          <v:rect id="_x0000_i1031" alt="" style="width:451.3pt;height:.05pt;mso-width-percent:0;mso-height-percent:0;mso-width-percent:0;mso-height-percent:0" o:hralign="center" o:hrstd="t" o:hr="t" fillcolor="#a0a0a0" stroked="f"/>
        </w:pict>
      </w:r>
    </w:p>
    <w:p w14:paraId="43E0D852"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QUALIFICATIONS &amp; PROFESSIONAL MEMBERSHIPS</w:t>
      </w:r>
    </w:p>
    <w:p w14:paraId="23D79E2D"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Fellow</w:t>
      </w:r>
      <w:r w:rsidRPr="00464F5C">
        <w:rPr>
          <w:rFonts w:ascii="Arial" w:eastAsia="Times New Roman" w:hAnsi="Arial" w:cs="Arial"/>
          <w:color w:val="000000"/>
          <w:kern w:val="0"/>
          <w:lang w:eastAsia="en-GB"/>
        </w:rPr>
        <w:t>, Chartered Institute of Arbitrators (</w:t>
      </w:r>
      <w:proofErr w:type="spellStart"/>
      <w:r w:rsidRPr="00464F5C">
        <w:rPr>
          <w:rFonts w:ascii="Arial" w:eastAsia="Times New Roman" w:hAnsi="Arial" w:cs="Arial"/>
          <w:color w:val="000000"/>
          <w:kern w:val="0"/>
          <w:lang w:eastAsia="en-GB"/>
        </w:rPr>
        <w:t>FCIArb</w:t>
      </w:r>
      <w:proofErr w:type="spellEnd"/>
      <w:r w:rsidRPr="00464F5C">
        <w:rPr>
          <w:rFonts w:ascii="Arial" w:eastAsia="Times New Roman" w:hAnsi="Arial" w:cs="Arial"/>
          <w:color w:val="000000"/>
          <w:kern w:val="0"/>
          <w:lang w:eastAsia="en-GB"/>
        </w:rPr>
        <w:t>)</w:t>
      </w:r>
    </w:p>
    <w:p w14:paraId="21DBFCC4"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Co-Vice President</w:t>
      </w:r>
      <w:r w:rsidRPr="00464F5C">
        <w:rPr>
          <w:rFonts w:ascii="Arial" w:eastAsia="Times New Roman" w:hAnsi="Arial" w:cs="Arial"/>
          <w:color w:val="000000"/>
          <w:kern w:val="0"/>
          <w:lang w:eastAsia="en-GB"/>
        </w:rPr>
        <w:t>, CIArb Caribbean Branch</w:t>
      </w:r>
    </w:p>
    <w:p w14:paraId="0F7CAB92"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ADR Group Accredited Civil &amp; Commercial Mediator</w:t>
      </w:r>
    </w:p>
    <w:p w14:paraId="3CCEB4A4"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Barrister-at-Law</w:t>
      </w:r>
      <w:r w:rsidRPr="00464F5C">
        <w:rPr>
          <w:rFonts w:ascii="Arial" w:eastAsia="Times New Roman" w:hAnsi="Arial" w:cs="Arial"/>
          <w:color w:val="000000"/>
          <w:kern w:val="0"/>
          <w:lang w:eastAsia="en-GB"/>
        </w:rPr>
        <w:t>, England &amp; Wales</w:t>
      </w:r>
    </w:p>
    <w:p w14:paraId="60F4BEAF"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Attorney-at-Law</w:t>
      </w:r>
      <w:r w:rsidRPr="00464F5C">
        <w:rPr>
          <w:rFonts w:ascii="Arial" w:eastAsia="Times New Roman" w:hAnsi="Arial" w:cs="Arial"/>
          <w:color w:val="000000"/>
          <w:kern w:val="0"/>
          <w:lang w:eastAsia="en-GB"/>
        </w:rPr>
        <w:t>, Grenada, St. Vincent &amp; the Grenadines, St. Kitts &amp; Nevis</w:t>
      </w:r>
    </w:p>
    <w:p w14:paraId="284427E0"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LLM (Distinction)</w:t>
      </w:r>
      <w:r w:rsidRPr="00464F5C">
        <w:rPr>
          <w:rFonts w:ascii="Arial" w:eastAsia="Times New Roman" w:hAnsi="Arial" w:cs="Arial"/>
          <w:color w:val="000000"/>
          <w:kern w:val="0"/>
          <w:lang w:eastAsia="en-GB"/>
        </w:rPr>
        <w:t>, Legal Practice</w:t>
      </w:r>
    </w:p>
    <w:p w14:paraId="59BA9038"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LLB (Hons)</w:t>
      </w:r>
      <w:r w:rsidRPr="00464F5C">
        <w:rPr>
          <w:rFonts w:ascii="Arial" w:eastAsia="Times New Roman" w:hAnsi="Arial" w:cs="Arial"/>
          <w:color w:val="000000"/>
          <w:kern w:val="0"/>
          <w:lang w:eastAsia="en-GB"/>
        </w:rPr>
        <w:t>, Law</w:t>
      </w:r>
    </w:p>
    <w:p w14:paraId="653B97FF"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BA (Hons)</w:t>
      </w:r>
      <w:r w:rsidRPr="00464F5C">
        <w:rPr>
          <w:rFonts w:ascii="Arial" w:eastAsia="Times New Roman" w:hAnsi="Arial" w:cs="Arial"/>
          <w:color w:val="000000"/>
          <w:kern w:val="0"/>
          <w:lang w:eastAsia="en-GB"/>
        </w:rPr>
        <w:t>, Social Sciences</w:t>
      </w:r>
    </w:p>
    <w:p w14:paraId="3A4301CE"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CIM Level 7 – Coaching and Mentoring</w:t>
      </w:r>
    </w:p>
    <w:p w14:paraId="37A91274"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PRINCE2 Certified</w:t>
      </w:r>
      <w:r w:rsidRPr="00464F5C">
        <w:rPr>
          <w:rFonts w:ascii="Arial" w:eastAsia="Times New Roman" w:hAnsi="Arial" w:cs="Arial"/>
          <w:color w:val="000000"/>
          <w:kern w:val="0"/>
          <w:lang w:eastAsia="en-GB"/>
        </w:rPr>
        <w:t>, Project Management</w:t>
      </w:r>
    </w:p>
    <w:p w14:paraId="6C35C514" w14:textId="77777777" w:rsidR="00464F5C" w:rsidRPr="00464F5C" w:rsidRDefault="00464F5C" w:rsidP="00464F5C">
      <w:pPr>
        <w:numPr>
          <w:ilvl w:val="0"/>
          <w:numId w:val="2"/>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Fellow</w:t>
      </w:r>
      <w:r w:rsidRPr="00464F5C">
        <w:rPr>
          <w:rFonts w:ascii="Arial" w:eastAsia="Times New Roman" w:hAnsi="Arial" w:cs="Arial"/>
          <w:color w:val="000000"/>
          <w:kern w:val="0"/>
          <w:lang w:eastAsia="en-GB"/>
        </w:rPr>
        <w:t>, Chartered Institute of Legal Executives (</w:t>
      </w:r>
      <w:proofErr w:type="spellStart"/>
      <w:r w:rsidRPr="00464F5C">
        <w:rPr>
          <w:rFonts w:ascii="Arial" w:eastAsia="Times New Roman" w:hAnsi="Arial" w:cs="Arial"/>
          <w:color w:val="000000"/>
          <w:kern w:val="0"/>
          <w:lang w:eastAsia="en-GB"/>
        </w:rPr>
        <w:t>FCILEx</w:t>
      </w:r>
      <w:proofErr w:type="spellEnd"/>
      <w:r w:rsidRPr="00464F5C">
        <w:rPr>
          <w:rFonts w:ascii="Arial" w:eastAsia="Times New Roman" w:hAnsi="Arial" w:cs="Arial"/>
          <w:color w:val="000000"/>
          <w:kern w:val="0"/>
          <w:lang w:eastAsia="en-GB"/>
        </w:rPr>
        <w:t>)</w:t>
      </w:r>
    </w:p>
    <w:p w14:paraId="65D68168"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600380D9">
          <v:rect id="_x0000_i1030" alt="" style="width:451.3pt;height:.05pt;mso-width-percent:0;mso-height-percent:0;mso-width-percent:0;mso-height-percent:0" o:hralign="center" o:hrstd="t" o:hr="t" fillcolor="#a0a0a0" stroked="f"/>
        </w:pict>
      </w:r>
    </w:p>
    <w:p w14:paraId="712F5742"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lastRenderedPageBreak/>
        <w:t>PROFESSIONAL APPOINTMENTS</w:t>
      </w:r>
    </w:p>
    <w:p w14:paraId="40336F12" w14:textId="77777777" w:rsidR="00464F5C" w:rsidRPr="00464F5C" w:rsidRDefault="00464F5C" w:rsidP="00464F5C">
      <w:pPr>
        <w:numPr>
          <w:ilvl w:val="0"/>
          <w:numId w:val="3"/>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Co-Vice President</w:t>
      </w:r>
      <w:r w:rsidRPr="00464F5C">
        <w:rPr>
          <w:rFonts w:ascii="Arial" w:eastAsia="Times New Roman" w:hAnsi="Arial" w:cs="Arial"/>
          <w:color w:val="000000"/>
          <w:kern w:val="0"/>
          <w:lang w:eastAsia="en-GB"/>
        </w:rPr>
        <w:t>, Chartered Institute of Arbitrators – Caribbean Branch (Present)</w:t>
      </w:r>
      <w:r w:rsidRPr="00464F5C">
        <w:rPr>
          <w:rFonts w:ascii="Arial" w:eastAsia="Times New Roman" w:hAnsi="Arial" w:cs="Arial"/>
          <w:color w:val="000000"/>
          <w:kern w:val="0"/>
          <w:lang w:eastAsia="en-GB"/>
        </w:rPr>
        <w:br/>
        <w:t>Supporting leadership, outreach, and strategic development of arbitration and ADR throughout the Caribbean region.</w:t>
      </w:r>
    </w:p>
    <w:p w14:paraId="1038D531" w14:textId="77777777" w:rsidR="00464F5C" w:rsidRPr="00464F5C" w:rsidRDefault="00464F5C" w:rsidP="00464F5C">
      <w:pPr>
        <w:numPr>
          <w:ilvl w:val="0"/>
          <w:numId w:val="3"/>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Vice President (Former)</w:t>
      </w:r>
      <w:r w:rsidRPr="00464F5C">
        <w:rPr>
          <w:rFonts w:ascii="Arial" w:eastAsia="Times New Roman" w:hAnsi="Arial" w:cs="Arial"/>
          <w:color w:val="000000"/>
          <w:kern w:val="0"/>
          <w:lang w:eastAsia="en-GB"/>
        </w:rPr>
        <w:t>, Grenada Bar Association</w:t>
      </w:r>
      <w:r w:rsidRPr="00464F5C">
        <w:rPr>
          <w:rFonts w:ascii="Arial" w:eastAsia="Times New Roman" w:hAnsi="Arial" w:cs="Arial"/>
          <w:color w:val="000000"/>
          <w:kern w:val="0"/>
          <w:lang w:eastAsia="en-GB"/>
        </w:rPr>
        <w:br/>
        <w:t>Provided leadership on legal reform, public interest advocacy, and professional development initiatives.</w:t>
      </w:r>
    </w:p>
    <w:p w14:paraId="6F576F7F" w14:textId="77777777" w:rsidR="00464F5C" w:rsidRPr="00464F5C" w:rsidRDefault="00464F5C" w:rsidP="00464F5C">
      <w:pPr>
        <w:numPr>
          <w:ilvl w:val="0"/>
          <w:numId w:val="3"/>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Principal Consultant</w:t>
      </w:r>
      <w:r w:rsidRPr="00464F5C">
        <w:rPr>
          <w:rFonts w:ascii="Arial" w:eastAsia="Times New Roman" w:hAnsi="Arial" w:cs="Arial"/>
          <w:color w:val="000000"/>
          <w:kern w:val="0"/>
          <w:lang w:eastAsia="en-GB"/>
        </w:rPr>
        <w:t>, EMA Solutions – Legal &amp; Strategic Advisory</w:t>
      </w:r>
      <w:r w:rsidRPr="00464F5C">
        <w:rPr>
          <w:rFonts w:ascii="Arial" w:eastAsia="Times New Roman" w:hAnsi="Arial" w:cs="Arial"/>
          <w:color w:val="000000"/>
          <w:kern w:val="0"/>
          <w:lang w:eastAsia="en-GB"/>
        </w:rPr>
        <w:br/>
        <w:t>Leading consultancy work across legal reform, arbitration law development, and capacity building in governance and compliance.</w:t>
      </w:r>
    </w:p>
    <w:p w14:paraId="085D4BE8"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0172FF32">
          <v:rect id="_x0000_i1029" alt="" style="width:451.3pt;height:.05pt;mso-width-percent:0;mso-height-percent:0;mso-width-percent:0;mso-height-percent:0" o:hralign="center" o:hrstd="t" o:hr="t" fillcolor="#a0a0a0" stroked="f"/>
        </w:pict>
      </w:r>
    </w:p>
    <w:p w14:paraId="7E35C4FD"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PROFESSIONAL EXPERIENCE</w:t>
      </w:r>
    </w:p>
    <w:p w14:paraId="6FD32993" w14:textId="77777777" w:rsidR="00464F5C" w:rsidRPr="00464F5C" w:rsidRDefault="00464F5C" w:rsidP="00464F5C">
      <w:pPr>
        <w:spacing w:before="100" w:beforeAutospacing="1" w:after="100" w:afterAutospacing="1" w:line="240" w:lineRule="auto"/>
        <w:outlineLvl w:val="3"/>
        <w:rPr>
          <w:rFonts w:ascii="Arial" w:eastAsia="Times New Roman" w:hAnsi="Arial" w:cs="Arial"/>
          <w:b/>
          <w:bCs/>
          <w:color w:val="000000"/>
          <w:kern w:val="0"/>
          <w:lang w:eastAsia="en-GB"/>
        </w:rPr>
      </w:pPr>
      <w:r w:rsidRPr="00464F5C">
        <w:rPr>
          <w:rFonts w:ascii="Arial" w:eastAsia="Times New Roman" w:hAnsi="Arial" w:cs="Arial"/>
          <w:b/>
          <w:bCs/>
          <w:color w:val="000000"/>
          <w:kern w:val="0"/>
          <w:lang w:eastAsia="en-GB"/>
        </w:rPr>
        <w:t>Principal Consultant &amp; Legal Practitioner</w:t>
      </w:r>
    </w:p>
    <w:p w14:paraId="12EEDC6C" w14:textId="23CC4193" w:rsidR="00464F5C" w:rsidRPr="00464F5C" w:rsidRDefault="00464F5C" w:rsidP="00464F5C">
      <w:p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EMA Solutions Management Consultants &amp; Legal Services</w:t>
      </w:r>
      <w:r w:rsidRPr="00464F5C">
        <w:rPr>
          <w:rFonts w:ascii="Arial" w:eastAsia="Times New Roman" w:hAnsi="Arial" w:cs="Arial"/>
          <w:color w:val="000000"/>
          <w:kern w:val="0"/>
          <w:lang w:eastAsia="en-GB"/>
        </w:rPr>
        <w:t> | International | [</w:t>
      </w:r>
      <w:r w:rsidRPr="00687BBD">
        <w:rPr>
          <w:rFonts w:ascii="Arial" w:eastAsia="Times New Roman" w:hAnsi="Arial" w:cs="Arial"/>
          <w:color w:val="000000"/>
          <w:kern w:val="0"/>
          <w:lang w:eastAsia="en-GB"/>
        </w:rPr>
        <w:t xml:space="preserve">2012 </w:t>
      </w:r>
      <w:r w:rsidRPr="00464F5C">
        <w:rPr>
          <w:rFonts w:ascii="Arial" w:eastAsia="Times New Roman" w:hAnsi="Arial" w:cs="Arial"/>
          <w:color w:val="000000"/>
          <w:kern w:val="0"/>
          <w:lang w:eastAsia="en-GB"/>
        </w:rPr>
        <w:t>– Present]</w:t>
      </w:r>
    </w:p>
    <w:p w14:paraId="708AE3FD" w14:textId="77777777" w:rsidR="00464F5C" w:rsidRPr="00464F5C" w:rsidRDefault="00464F5C" w:rsidP="00464F5C">
      <w:pPr>
        <w:numPr>
          <w:ilvl w:val="0"/>
          <w:numId w:val="4"/>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Leading mediation and arbitration services for civil, commercial, and maritime disputes across multiple jurisdictions.</w:t>
      </w:r>
    </w:p>
    <w:p w14:paraId="1B594910" w14:textId="77777777" w:rsidR="00464F5C" w:rsidRPr="00464F5C" w:rsidRDefault="00464F5C" w:rsidP="00464F5C">
      <w:pPr>
        <w:numPr>
          <w:ilvl w:val="0"/>
          <w:numId w:val="4"/>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Successfully resolved high-value estate, property, and contractual disputes through structured mediation and arbitration hearings.</w:t>
      </w:r>
    </w:p>
    <w:p w14:paraId="4B54B0B8" w14:textId="77777777" w:rsidR="00464F5C" w:rsidRPr="00464F5C" w:rsidRDefault="00464F5C" w:rsidP="00464F5C">
      <w:pPr>
        <w:numPr>
          <w:ilvl w:val="0"/>
          <w:numId w:val="4"/>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Advising governments and private clients on legal reforms and dispute resolution infrastructure development.</w:t>
      </w:r>
    </w:p>
    <w:p w14:paraId="0B0C6EBE" w14:textId="77777777" w:rsidR="00464F5C" w:rsidRPr="00464F5C" w:rsidRDefault="00464F5C" w:rsidP="00464F5C">
      <w:pPr>
        <w:numPr>
          <w:ilvl w:val="0"/>
          <w:numId w:val="4"/>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Providing consultancy services on arbitration legislation and designing ADR frameworks, including tribunal mechanisms.</w:t>
      </w:r>
    </w:p>
    <w:p w14:paraId="77013813" w14:textId="77777777" w:rsidR="00464F5C" w:rsidRPr="00464F5C" w:rsidRDefault="00464F5C" w:rsidP="00464F5C">
      <w:pPr>
        <w:spacing w:before="100" w:beforeAutospacing="1" w:after="100" w:afterAutospacing="1" w:line="240" w:lineRule="auto"/>
        <w:outlineLvl w:val="3"/>
        <w:rPr>
          <w:rFonts w:ascii="Arial" w:eastAsia="Times New Roman" w:hAnsi="Arial" w:cs="Arial"/>
          <w:b/>
          <w:bCs/>
          <w:color w:val="000000"/>
          <w:kern w:val="0"/>
          <w:lang w:eastAsia="en-GB"/>
        </w:rPr>
      </w:pPr>
      <w:r w:rsidRPr="00464F5C">
        <w:rPr>
          <w:rFonts w:ascii="Arial" w:eastAsia="Times New Roman" w:hAnsi="Arial" w:cs="Arial"/>
          <w:b/>
          <w:bCs/>
          <w:color w:val="000000"/>
          <w:kern w:val="0"/>
          <w:lang w:eastAsia="en-GB"/>
        </w:rPr>
        <w:t>Consultant Lawyer</w:t>
      </w:r>
    </w:p>
    <w:p w14:paraId="04D134EE" w14:textId="3225833C" w:rsidR="00464F5C" w:rsidRPr="00464F5C" w:rsidRDefault="00464F5C" w:rsidP="00464F5C">
      <w:pPr>
        <w:spacing w:before="100" w:beforeAutospacing="1" w:after="100" w:afterAutospacing="1" w:line="240" w:lineRule="auto"/>
        <w:rPr>
          <w:rFonts w:ascii="Arial" w:eastAsia="Times New Roman" w:hAnsi="Arial" w:cs="Arial"/>
          <w:color w:val="000000"/>
          <w:kern w:val="0"/>
          <w:lang w:eastAsia="en-GB"/>
        </w:rPr>
      </w:pPr>
      <w:proofErr w:type="spellStart"/>
      <w:r w:rsidRPr="00464F5C">
        <w:rPr>
          <w:rFonts w:ascii="Arial" w:eastAsia="Times New Roman" w:hAnsi="Arial" w:cs="Arial"/>
          <w:b/>
          <w:bCs/>
          <w:color w:val="000000"/>
          <w:kern w:val="0"/>
          <w:lang w:eastAsia="en-GB"/>
        </w:rPr>
        <w:t>Setfords</w:t>
      </w:r>
      <w:proofErr w:type="spellEnd"/>
      <w:r w:rsidRPr="00464F5C">
        <w:rPr>
          <w:rFonts w:ascii="Arial" w:eastAsia="Times New Roman" w:hAnsi="Arial" w:cs="Arial"/>
          <w:b/>
          <w:bCs/>
          <w:color w:val="000000"/>
          <w:kern w:val="0"/>
          <w:lang w:eastAsia="en-GB"/>
        </w:rPr>
        <w:t xml:space="preserve"> Solicitors</w:t>
      </w:r>
      <w:r w:rsidRPr="00464F5C">
        <w:rPr>
          <w:rFonts w:ascii="Arial" w:eastAsia="Times New Roman" w:hAnsi="Arial" w:cs="Arial"/>
          <w:color w:val="000000"/>
          <w:kern w:val="0"/>
          <w:lang w:eastAsia="en-GB"/>
        </w:rPr>
        <w:t> | England &amp; Wales | [</w:t>
      </w:r>
      <w:r w:rsidRPr="00687BBD">
        <w:rPr>
          <w:rFonts w:ascii="Arial" w:eastAsia="Times New Roman" w:hAnsi="Arial" w:cs="Arial"/>
          <w:color w:val="000000"/>
          <w:kern w:val="0"/>
          <w:lang w:eastAsia="en-GB"/>
        </w:rPr>
        <w:t xml:space="preserve">July 2024 </w:t>
      </w:r>
      <w:r w:rsidRPr="00464F5C">
        <w:rPr>
          <w:rFonts w:ascii="Arial" w:eastAsia="Times New Roman" w:hAnsi="Arial" w:cs="Arial"/>
          <w:color w:val="000000"/>
          <w:kern w:val="0"/>
          <w:lang w:eastAsia="en-GB"/>
        </w:rPr>
        <w:t>– Present]</w:t>
      </w:r>
    </w:p>
    <w:p w14:paraId="68E843E2" w14:textId="77777777" w:rsidR="00464F5C" w:rsidRPr="00464F5C" w:rsidRDefault="00464F5C" w:rsidP="00464F5C">
      <w:pPr>
        <w:numPr>
          <w:ilvl w:val="0"/>
          <w:numId w:val="5"/>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Representing clients in complex family, immigration, probate, and civil litigation matters.</w:t>
      </w:r>
    </w:p>
    <w:p w14:paraId="31812280" w14:textId="77777777" w:rsidR="00464F5C" w:rsidRPr="00464F5C" w:rsidRDefault="00464F5C" w:rsidP="00464F5C">
      <w:pPr>
        <w:numPr>
          <w:ilvl w:val="0"/>
          <w:numId w:val="5"/>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Appointed to mediate in high-conflict family law cases and multi-party inheritance disputes.</w:t>
      </w:r>
    </w:p>
    <w:p w14:paraId="42154378" w14:textId="77777777" w:rsidR="00464F5C" w:rsidRPr="00464F5C" w:rsidRDefault="00464F5C" w:rsidP="00464F5C">
      <w:pPr>
        <w:numPr>
          <w:ilvl w:val="0"/>
          <w:numId w:val="5"/>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Conducting cross-border arbitration case assessments, including preliminary jurisdictional issues and enforceability analysis.</w:t>
      </w:r>
    </w:p>
    <w:p w14:paraId="44CA2A8F" w14:textId="77777777" w:rsidR="00464F5C" w:rsidRPr="00464F5C" w:rsidRDefault="00464F5C" w:rsidP="00464F5C">
      <w:pPr>
        <w:spacing w:before="100" w:beforeAutospacing="1" w:after="100" w:afterAutospacing="1" w:line="240" w:lineRule="auto"/>
        <w:outlineLvl w:val="3"/>
        <w:rPr>
          <w:rFonts w:ascii="Arial" w:eastAsia="Times New Roman" w:hAnsi="Arial" w:cs="Arial"/>
          <w:b/>
          <w:bCs/>
          <w:color w:val="000000"/>
          <w:kern w:val="0"/>
          <w:lang w:eastAsia="en-GB"/>
        </w:rPr>
      </w:pPr>
      <w:r w:rsidRPr="00464F5C">
        <w:rPr>
          <w:rFonts w:ascii="Arial" w:eastAsia="Times New Roman" w:hAnsi="Arial" w:cs="Arial"/>
          <w:b/>
          <w:bCs/>
          <w:color w:val="000000"/>
          <w:kern w:val="0"/>
          <w:lang w:eastAsia="en-GB"/>
        </w:rPr>
        <w:t>Vice President (Former)</w:t>
      </w:r>
    </w:p>
    <w:p w14:paraId="1ACF933B" w14:textId="77777777" w:rsidR="00464F5C" w:rsidRPr="00464F5C" w:rsidRDefault="00464F5C" w:rsidP="00464F5C">
      <w:p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Grenada Bar Association</w:t>
      </w:r>
    </w:p>
    <w:p w14:paraId="28500BC3" w14:textId="77777777" w:rsidR="00464F5C" w:rsidRPr="00464F5C" w:rsidRDefault="00464F5C" w:rsidP="00464F5C">
      <w:pPr>
        <w:numPr>
          <w:ilvl w:val="0"/>
          <w:numId w:val="6"/>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Advocated for the modernization of dispute resolution mechanisms in Grenada, promoting mediation and arbitration as alternatives to court litigation.</w:t>
      </w:r>
    </w:p>
    <w:p w14:paraId="21DFFCB3" w14:textId="77777777" w:rsidR="00464F5C" w:rsidRPr="00464F5C" w:rsidRDefault="00464F5C" w:rsidP="00464F5C">
      <w:pPr>
        <w:numPr>
          <w:ilvl w:val="0"/>
          <w:numId w:val="6"/>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lastRenderedPageBreak/>
        <w:t>Participated in policy development for improving access to justice and ADR in Grenada.</w:t>
      </w:r>
    </w:p>
    <w:p w14:paraId="28EE3619"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33B4C608">
          <v:rect id="_x0000_i1028" alt="" style="width:451.3pt;height:.05pt;mso-width-percent:0;mso-height-percent:0;mso-width-percent:0;mso-height-percent:0" o:hralign="center" o:hrstd="t" o:hr="t" fillcolor="#a0a0a0" stroked="f"/>
        </w:pict>
      </w:r>
    </w:p>
    <w:p w14:paraId="559E131B"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SELECTED PROJECTS</w:t>
      </w:r>
    </w:p>
    <w:p w14:paraId="2C4FCB3A" w14:textId="77777777" w:rsidR="00464F5C" w:rsidRPr="00464F5C" w:rsidRDefault="00464F5C" w:rsidP="00464F5C">
      <w:pPr>
        <w:numPr>
          <w:ilvl w:val="0"/>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Caribbean Arbitration Law Reform Advocacy</w:t>
      </w:r>
      <w:r w:rsidRPr="00464F5C">
        <w:rPr>
          <w:rFonts w:ascii="Arial" w:eastAsia="Times New Roman" w:hAnsi="Arial" w:cs="Arial"/>
          <w:color w:val="000000"/>
          <w:kern w:val="0"/>
          <w:lang w:eastAsia="en-GB"/>
        </w:rPr>
        <w:br/>
        <w:t>Led regional efforts to modernize arbitration legislation across several Caribbean jurisdictions. Advised on drafting, consultation, and implementation strategies to align with international standards such as UNCITRAL Model Law.</w:t>
      </w:r>
      <w:r w:rsidRPr="00464F5C">
        <w:rPr>
          <w:rFonts w:ascii="Arial" w:eastAsia="Times New Roman" w:hAnsi="Arial" w:cs="Arial"/>
          <w:color w:val="000000"/>
          <w:kern w:val="0"/>
          <w:lang w:eastAsia="en-GB"/>
        </w:rPr>
        <w:br/>
      </w:r>
      <w:r w:rsidRPr="00464F5C">
        <w:rPr>
          <w:rFonts w:ascii="Arial" w:eastAsia="Times New Roman" w:hAnsi="Arial" w:cs="Arial"/>
          <w:b/>
          <w:bCs/>
          <w:color w:val="000000"/>
          <w:kern w:val="0"/>
          <w:lang w:eastAsia="en-GB"/>
        </w:rPr>
        <w:t>Achievements:</w:t>
      </w:r>
    </w:p>
    <w:p w14:paraId="0C343070"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Influenced the legislative agenda of two CARICOM Member States</w:t>
      </w:r>
    </w:p>
    <w:p w14:paraId="4932ED49"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Delivered policy briefs to Ministries of Legal Affairs and international investment bodies</w:t>
      </w:r>
    </w:p>
    <w:p w14:paraId="41C5F6FD" w14:textId="77777777" w:rsid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Engaged with CIArb Caribbean Branch and local bar associations as expert advisor</w:t>
      </w:r>
    </w:p>
    <w:p w14:paraId="63A7EF4C" w14:textId="77777777" w:rsidR="00687BBD" w:rsidRPr="00464F5C" w:rsidRDefault="00687BBD" w:rsidP="00687BBD">
      <w:pPr>
        <w:spacing w:before="100" w:beforeAutospacing="1" w:after="100" w:afterAutospacing="1" w:line="240" w:lineRule="auto"/>
        <w:ind w:left="1440"/>
        <w:rPr>
          <w:rFonts w:ascii="Arial" w:eastAsia="Times New Roman" w:hAnsi="Arial" w:cs="Arial"/>
          <w:color w:val="000000"/>
          <w:kern w:val="0"/>
          <w:lang w:eastAsia="en-GB"/>
        </w:rPr>
      </w:pPr>
    </w:p>
    <w:p w14:paraId="62A13035" w14:textId="77777777" w:rsidR="00464F5C" w:rsidRPr="00464F5C" w:rsidRDefault="00464F5C" w:rsidP="00464F5C">
      <w:pPr>
        <w:numPr>
          <w:ilvl w:val="0"/>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Petite Martinique Build Back &amp; Housing Repair Programme</w:t>
      </w:r>
      <w:r w:rsidRPr="00464F5C">
        <w:rPr>
          <w:rFonts w:ascii="Arial" w:eastAsia="Times New Roman" w:hAnsi="Arial" w:cs="Arial"/>
          <w:color w:val="000000"/>
          <w:kern w:val="0"/>
          <w:lang w:eastAsia="en-GB"/>
        </w:rPr>
        <w:t> </w:t>
      </w:r>
      <w:r w:rsidRPr="00464F5C">
        <w:rPr>
          <w:rFonts w:ascii="Arial" w:eastAsia="Times New Roman" w:hAnsi="Arial" w:cs="Arial"/>
          <w:i/>
          <w:iCs/>
          <w:color w:val="000000"/>
          <w:kern w:val="0"/>
          <w:lang w:eastAsia="en-GB"/>
        </w:rPr>
        <w:t>(Post-Hurricane Beryl Recovery)</w:t>
      </w:r>
      <w:r w:rsidRPr="00464F5C">
        <w:rPr>
          <w:rFonts w:ascii="Arial" w:eastAsia="Times New Roman" w:hAnsi="Arial" w:cs="Arial"/>
          <w:color w:val="000000"/>
          <w:kern w:val="0"/>
          <w:lang w:eastAsia="en-GB"/>
        </w:rPr>
        <w:br/>
        <w:t>Provided legal oversight and strategic guidance for a government-backed reconstruction programme following the devastation of Hurricane Beryl. Led legal analysis of land title irregularities and mediated intergenerational property disputes.</w:t>
      </w:r>
      <w:r w:rsidRPr="00464F5C">
        <w:rPr>
          <w:rFonts w:ascii="Arial" w:eastAsia="Times New Roman" w:hAnsi="Arial" w:cs="Arial"/>
          <w:color w:val="000000"/>
          <w:kern w:val="0"/>
          <w:lang w:eastAsia="en-GB"/>
        </w:rPr>
        <w:br/>
      </w:r>
      <w:r w:rsidRPr="00464F5C">
        <w:rPr>
          <w:rFonts w:ascii="Arial" w:eastAsia="Times New Roman" w:hAnsi="Arial" w:cs="Arial"/>
          <w:b/>
          <w:bCs/>
          <w:color w:val="000000"/>
          <w:kern w:val="0"/>
          <w:lang w:eastAsia="en-GB"/>
        </w:rPr>
        <w:t>Key Partners:</w:t>
      </w:r>
      <w:r w:rsidRPr="00464F5C">
        <w:rPr>
          <w:rFonts w:ascii="Arial" w:eastAsia="Times New Roman" w:hAnsi="Arial" w:cs="Arial"/>
          <w:color w:val="000000"/>
          <w:kern w:val="0"/>
          <w:lang w:eastAsia="en-GB"/>
        </w:rPr>
        <w:t> Gren Mac Construction, Government of Grenada, EMA Solutions Team</w:t>
      </w:r>
      <w:r w:rsidRPr="00464F5C">
        <w:rPr>
          <w:rFonts w:ascii="Arial" w:eastAsia="Times New Roman" w:hAnsi="Arial" w:cs="Arial"/>
          <w:color w:val="000000"/>
          <w:kern w:val="0"/>
          <w:lang w:eastAsia="en-GB"/>
        </w:rPr>
        <w:br/>
      </w:r>
      <w:r w:rsidRPr="00464F5C">
        <w:rPr>
          <w:rFonts w:ascii="Arial" w:eastAsia="Times New Roman" w:hAnsi="Arial" w:cs="Arial"/>
          <w:b/>
          <w:bCs/>
          <w:color w:val="000000"/>
          <w:kern w:val="0"/>
          <w:lang w:eastAsia="en-GB"/>
        </w:rPr>
        <w:t>Results:</w:t>
      </w:r>
    </w:p>
    <w:p w14:paraId="5CC35B76"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Resolved over 50 complex land and estate-related conflicts through informal and formal mediation</w:t>
      </w:r>
    </w:p>
    <w:p w14:paraId="4D98A185"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Contributed to successful rebuilding of over 100 homes</w:t>
      </w:r>
    </w:p>
    <w:p w14:paraId="73795B7B" w14:textId="77777777" w:rsid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Reduced litigation risk and facilitated transparent community consultation processes</w:t>
      </w:r>
    </w:p>
    <w:p w14:paraId="1C31C196" w14:textId="77777777" w:rsidR="00687BBD" w:rsidRPr="00464F5C" w:rsidRDefault="00687BBD" w:rsidP="00687BBD">
      <w:pPr>
        <w:spacing w:before="100" w:beforeAutospacing="1" w:after="100" w:afterAutospacing="1" w:line="240" w:lineRule="auto"/>
        <w:ind w:left="1440"/>
        <w:rPr>
          <w:rFonts w:ascii="Arial" w:eastAsia="Times New Roman" w:hAnsi="Arial" w:cs="Arial"/>
          <w:color w:val="000000"/>
          <w:kern w:val="0"/>
          <w:lang w:eastAsia="en-GB"/>
        </w:rPr>
      </w:pPr>
    </w:p>
    <w:p w14:paraId="11B77AAB" w14:textId="77777777" w:rsidR="00464F5C" w:rsidRPr="00464F5C" w:rsidRDefault="00464F5C" w:rsidP="00464F5C">
      <w:pPr>
        <w:numPr>
          <w:ilvl w:val="0"/>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b/>
          <w:bCs/>
          <w:color w:val="000000"/>
          <w:kern w:val="0"/>
          <w:lang w:eastAsia="en-GB"/>
        </w:rPr>
        <w:t>Yachting Act Reform (Grenada)</w:t>
      </w:r>
      <w:r w:rsidRPr="00464F5C">
        <w:rPr>
          <w:rFonts w:ascii="Arial" w:eastAsia="Times New Roman" w:hAnsi="Arial" w:cs="Arial"/>
          <w:color w:val="000000"/>
          <w:kern w:val="0"/>
          <w:lang w:eastAsia="en-GB"/>
        </w:rPr>
        <w:br/>
        <w:t>Principal drafter of Grenada’s proposed Yachting Act, including the development of dispute resolution provisions (mediation and arbitration) specific to maritime and tourism sectors. Designed to support international compliance, safety, investment, and revenue generation.</w:t>
      </w:r>
      <w:r w:rsidRPr="00464F5C">
        <w:rPr>
          <w:rFonts w:ascii="Arial" w:eastAsia="Times New Roman" w:hAnsi="Arial" w:cs="Arial"/>
          <w:color w:val="000000"/>
          <w:kern w:val="0"/>
          <w:lang w:eastAsia="en-GB"/>
        </w:rPr>
        <w:br/>
      </w:r>
      <w:r w:rsidRPr="00464F5C">
        <w:rPr>
          <w:rFonts w:ascii="Arial" w:eastAsia="Times New Roman" w:hAnsi="Arial" w:cs="Arial"/>
          <w:b/>
          <w:bCs/>
          <w:color w:val="000000"/>
          <w:kern w:val="0"/>
          <w:lang w:eastAsia="en-GB"/>
        </w:rPr>
        <w:t>Collaborators:</w:t>
      </w:r>
      <w:r w:rsidRPr="00464F5C">
        <w:rPr>
          <w:rFonts w:ascii="Arial" w:eastAsia="Times New Roman" w:hAnsi="Arial" w:cs="Arial"/>
          <w:color w:val="000000"/>
          <w:kern w:val="0"/>
          <w:lang w:eastAsia="en-GB"/>
        </w:rPr>
        <w:t> Marine and Yachting Association of Grenada (MAYAG), CCMG, Government of Grenada</w:t>
      </w:r>
      <w:r w:rsidRPr="00464F5C">
        <w:rPr>
          <w:rFonts w:ascii="Arial" w:eastAsia="Times New Roman" w:hAnsi="Arial" w:cs="Arial"/>
          <w:color w:val="000000"/>
          <w:kern w:val="0"/>
          <w:lang w:eastAsia="en-GB"/>
        </w:rPr>
        <w:br/>
      </w:r>
      <w:r w:rsidRPr="00464F5C">
        <w:rPr>
          <w:rFonts w:ascii="Arial" w:eastAsia="Times New Roman" w:hAnsi="Arial" w:cs="Arial"/>
          <w:b/>
          <w:bCs/>
          <w:color w:val="000000"/>
          <w:kern w:val="0"/>
          <w:lang w:eastAsia="en-GB"/>
        </w:rPr>
        <w:t>Impact:</w:t>
      </w:r>
    </w:p>
    <w:p w14:paraId="46E9A4B3"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Introduced framework for maritime arbitration tribunal</w:t>
      </w:r>
    </w:p>
    <w:p w14:paraId="0C6031CF"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Supported stakeholder buy-in through consultation forums</w:t>
      </w:r>
    </w:p>
    <w:p w14:paraId="61639050" w14:textId="77777777" w:rsidR="00464F5C" w:rsidRPr="00464F5C" w:rsidRDefault="00464F5C" w:rsidP="00464F5C">
      <w:pPr>
        <w:numPr>
          <w:ilvl w:val="1"/>
          <w:numId w:val="7"/>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Positioned Grenada to attract regional and international marine business investment</w:t>
      </w:r>
    </w:p>
    <w:p w14:paraId="43A43D28"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lastRenderedPageBreak/>
        <w:pict w14:anchorId="391DE278">
          <v:rect id="_x0000_i1027" alt="" style="width:451.3pt;height:.05pt;mso-width-percent:0;mso-height-percent:0;mso-width-percent:0;mso-height-percent:0" o:hralign="center" o:hrstd="t" o:hr="t" fillcolor="#a0a0a0" stroked="f"/>
        </w:pict>
      </w:r>
    </w:p>
    <w:p w14:paraId="0ECAF72F"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PUBLICATIONS &amp; SPEAKING ENGAGEMENTS</w:t>
      </w:r>
    </w:p>
    <w:p w14:paraId="1B797CC6" w14:textId="77777777" w:rsidR="00464F5C" w:rsidRPr="00464F5C" w:rsidRDefault="00464F5C" w:rsidP="00464F5C">
      <w:pPr>
        <w:numPr>
          <w:ilvl w:val="0"/>
          <w:numId w:val="8"/>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i/>
          <w:iCs/>
          <w:color w:val="000000"/>
          <w:kern w:val="0"/>
          <w:lang w:eastAsia="en-GB"/>
        </w:rPr>
        <w:t>Corruption in Caribbean Politics – Examining Cultural Tolerance</w:t>
      </w:r>
      <w:r w:rsidRPr="00464F5C">
        <w:rPr>
          <w:rFonts w:ascii="Arial" w:eastAsia="Times New Roman" w:hAnsi="Arial" w:cs="Arial"/>
          <w:color w:val="000000"/>
          <w:kern w:val="0"/>
          <w:lang w:eastAsia="en-GB"/>
        </w:rPr>
        <w:t> (Doctoral Thesis)</w:t>
      </w:r>
    </w:p>
    <w:p w14:paraId="1EB48256" w14:textId="77777777" w:rsidR="00464F5C" w:rsidRPr="00464F5C" w:rsidRDefault="00464F5C" w:rsidP="00464F5C">
      <w:pPr>
        <w:numPr>
          <w:ilvl w:val="0"/>
          <w:numId w:val="8"/>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Speaker: </w:t>
      </w:r>
      <w:r w:rsidRPr="00464F5C">
        <w:rPr>
          <w:rFonts w:ascii="Arial" w:eastAsia="Times New Roman" w:hAnsi="Arial" w:cs="Arial"/>
          <w:i/>
          <w:iCs/>
          <w:color w:val="000000"/>
          <w:kern w:val="0"/>
          <w:lang w:eastAsia="en-GB"/>
        </w:rPr>
        <w:t>International Mediation and Arbitration in Small Island States</w:t>
      </w:r>
      <w:r w:rsidRPr="00464F5C">
        <w:rPr>
          <w:rFonts w:ascii="Arial" w:eastAsia="Times New Roman" w:hAnsi="Arial" w:cs="Arial"/>
          <w:color w:val="000000"/>
          <w:kern w:val="0"/>
          <w:lang w:eastAsia="en-GB"/>
        </w:rPr>
        <w:t>, CIArb Caribbean Conference</w:t>
      </w:r>
    </w:p>
    <w:p w14:paraId="0DF8DEE2" w14:textId="77777777" w:rsidR="00464F5C" w:rsidRPr="00464F5C" w:rsidRDefault="00464F5C" w:rsidP="00464F5C">
      <w:pPr>
        <w:numPr>
          <w:ilvl w:val="0"/>
          <w:numId w:val="8"/>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Contributor: </w:t>
      </w:r>
      <w:r w:rsidRPr="00464F5C">
        <w:rPr>
          <w:rFonts w:ascii="Arial" w:eastAsia="Times New Roman" w:hAnsi="Arial" w:cs="Arial"/>
          <w:i/>
          <w:iCs/>
          <w:color w:val="000000"/>
          <w:kern w:val="0"/>
          <w:lang w:eastAsia="en-GB"/>
        </w:rPr>
        <w:t>The Role of ADR in Maritime Disputes</w:t>
      </w:r>
      <w:r w:rsidRPr="00464F5C">
        <w:rPr>
          <w:rFonts w:ascii="Arial" w:eastAsia="Times New Roman" w:hAnsi="Arial" w:cs="Arial"/>
          <w:color w:val="000000"/>
          <w:kern w:val="0"/>
          <w:lang w:eastAsia="en-GB"/>
        </w:rPr>
        <w:t>, Caribbean Maritime Legal Review</w:t>
      </w:r>
    </w:p>
    <w:p w14:paraId="1F8B3C13"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4A85F876">
          <v:rect id="_x0000_i1026" alt="" style="width:451.3pt;height:.05pt;mso-width-percent:0;mso-height-percent:0;mso-width-percent:0;mso-height-percent:0" o:hralign="center" o:hrstd="t" o:hr="t" fillcolor="#a0a0a0" stroked="f"/>
        </w:pict>
      </w:r>
    </w:p>
    <w:p w14:paraId="3B8C72AE" w14:textId="77777777"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464F5C">
        <w:rPr>
          <w:rFonts w:ascii="Arial" w:eastAsia="Times New Roman" w:hAnsi="Arial" w:cs="Arial"/>
          <w:b/>
          <w:bCs/>
          <w:color w:val="000000"/>
          <w:kern w:val="0"/>
          <w:sz w:val="27"/>
          <w:szCs w:val="27"/>
          <w:lang w:eastAsia="en-GB"/>
        </w:rPr>
        <w:t>TECHNICAL SKILLS</w:t>
      </w:r>
    </w:p>
    <w:p w14:paraId="16184585" w14:textId="77777777" w:rsidR="00464F5C" w:rsidRPr="00464F5C" w:rsidRDefault="00464F5C" w:rsidP="00464F5C">
      <w:pPr>
        <w:numPr>
          <w:ilvl w:val="0"/>
          <w:numId w:val="9"/>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Legal Research &amp; Drafting | Arbitration Rules (UNCITRAL, ICC)</w:t>
      </w:r>
    </w:p>
    <w:p w14:paraId="3C2FBDA8" w14:textId="77777777" w:rsidR="00464F5C" w:rsidRPr="00464F5C" w:rsidRDefault="00464F5C" w:rsidP="00464F5C">
      <w:pPr>
        <w:numPr>
          <w:ilvl w:val="0"/>
          <w:numId w:val="9"/>
        </w:numPr>
        <w:spacing w:before="100" w:beforeAutospacing="1" w:after="100" w:afterAutospacing="1" w:line="240" w:lineRule="auto"/>
        <w:rPr>
          <w:rFonts w:ascii="Arial" w:eastAsia="Times New Roman" w:hAnsi="Arial" w:cs="Arial"/>
          <w:color w:val="000000"/>
          <w:kern w:val="0"/>
          <w:lang w:eastAsia="en-GB"/>
        </w:rPr>
      </w:pPr>
      <w:r w:rsidRPr="00464F5C">
        <w:rPr>
          <w:rFonts w:ascii="Arial" w:eastAsia="Times New Roman" w:hAnsi="Arial" w:cs="Arial"/>
          <w:color w:val="000000"/>
          <w:kern w:val="0"/>
          <w:lang w:eastAsia="en-GB"/>
        </w:rPr>
        <w:t>Online Dispute Resolution (ODR) Platforms | Microsoft 365 | Legal Case Management Software</w:t>
      </w:r>
    </w:p>
    <w:p w14:paraId="5C71A9B8" w14:textId="77777777" w:rsidR="00464F5C" w:rsidRPr="00687BBD" w:rsidRDefault="00464F5C">
      <w:pPr>
        <w:rPr>
          <w:rFonts w:ascii="Arial" w:hAnsi="Arial" w:cs="Arial"/>
        </w:rPr>
      </w:pPr>
    </w:p>
    <w:p w14:paraId="1ECBC8B6" w14:textId="77777777" w:rsidR="00464F5C" w:rsidRPr="00464F5C" w:rsidRDefault="009C5395" w:rsidP="00464F5C">
      <w:pPr>
        <w:spacing w:after="0" w:line="240" w:lineRule="auto"/>
        <w:rPr>
          <w:rFonts w:ascii="Arial" w:eastAsia="Times New Roman" w:hAnsi="Arial" w:cs="Arial"/>
          <w:kern w:val="0"/>
          <w:lang w:eastAsia="en-GB"/>
        </w:rPr>
      </w:pPr>
      <w:r w:rsidRPr="009C5395">
        <w:rPr>
          <w:rFonts w:ascii="Arial" w:eastAsia="Times New Roman" w:hAnsi="Arial" w:cs="Arial"/>
          <w:noProof/>
          <w:kern w:val="0"/>
          <w:lang w:eastAsia="en-GB"/>
        </w:rPr>
        <w:pict w14:anchorId="5190DEC2">
          <v:rect id="_x0000_i1025" alt="" style="width:451.3pt;height:.05pt;mso-width-percent:0;mso-height-percent:0;mso-width-percent:0;mso-height-percent:0" o:hralign="center" o:hrstd="t" o:hr="t" fillcolor="#a0a0a0" stroked="f"/>
        </w:pict>
      </w:r>
    </w:p>
    <w:p w14:paraId="0ADFB18E" w14:textId="5BEDA826" w:rsidR="00464F5C" w:rsidRPr="00464F5C" w:rsidRDefault="00464F5C" w:rsidP="00464F5C">
      <w:pPr>
        <w:spacing w:before="100" w:beforeAutospacing="1" w:after="100" w:afterAutospacing="1" w:line="240" w:lineRule="auto"/>
        <w:outlineLvl w:val="2"/>
        <w:rPr>
          <w:rFonts w:ascii="Arial" w:eastAsia="Times New Roman" w:hAnsi="Arial" w:cs="Arial"/>
          <w:b/>
          <w:bCs/>
          <w:color w:val="000000"/>
          <w:kern w:val="0"/>
          <w:sz w:val="27"/>
          <w:szCs w:val="27"/>
          <w:lang w:eastAsia="en-GB"/>
        </w:rPr>
      </w:pPr>
      <w:r w:rsidRPr="00687BBD">
        <w:rPr>
          <w:rFonts w:ascii="Arial" w:eastAsia="Times New Roman" w:hAnsi="Arial" w:cs="Arial"/>
          <w:b/>
          <w:bCs/>
          <w:color w:val="000000"/>
          <w:kern w:val="0"/>
          <w:sz w:val="27"/>
          <w:szCs w:val="27"/>
          <w:lang w:eastAsia="en-GB"/>
        </w:rPr>
        <w:t>MEMBERSHIPS</w:t>
      </w:r>
    </w:p>
    <w:p w14:paraId="42AB5A58" w14:textId="1FAC6DC4" w:rsidR="00464F5C" w:rsidRPr="00687BBD" w:rsidRDefault="00464F5C" w:rsidP="00464F5C">
      <w:pPr>
        <w:numPr>
          <w:ilvl w:val="0"/>
          <w:numId w:val="9"/>
        </w:numPr>
        <w:spacing w:before="100" w:beforeAutospacing="1" w:after="100" w:afterAutospacing="1" w:line="240" w:lineRule="auto"/>
        <w:rPr>
          <w:rFonts w:ascii="Arial" w:eastAsia="Times New Roman" w:hAnsi="Arial" w:cs="Arial"/>
          <w:color w:val="000000"/>
          <w:kern w:val="0"/>
          <w:lang w:eastAsia="en-GB"/>
        </w:rPr>
      </w:pPr>
      <w:r w:rsidRPr="00687BBD">
        <w:rPr>
          <w:rFonts w:ascii="Arial" w:eastAsia="Times New Roman" w:hAnsi="Arial" w:cs="Arial"/>
          <w:color w:val="000000"/>
          <w:kern w:val="0"/>
          <w:lang w:eastAsia="en-GB"/>
        </w:rPr>
        <w:t>Chartered Institute of Arbitration</w:t>
      </w:r>
    </w:p>
    <w:p w14:paraId="527FA323" w14:textId="77777777" w:rsidR="00464F5C" w:rsidRPr="00687BBD" w:rsidRDefault="00464F5C" w:rsidP="00464F5C">
      <w:pPr>
        <w:numPr>
          <w:ilvl w:val="0"/>
          <w:numId w:val="9"/>
        </w:numPr>
        <w:spacing w:after="0" w:line="240" w:lineRule="auto"/>
        <w:rPr>
          <w:rFonts w:ascii="Arial" w:hAnsi="Arial" w:cs="Arial"/>
        </w:rPr>
      </w:pPr>
      <w:r w:rsidRPr="00687BBD">
        <w:rPr>
          <w:rFonts w:ascii="Arial" w:hAnsi="Arial" w:cs="Arial"/>
        </w:rPr>
        <w:t>London Court of International Arbitration</w:t>
      </w:r>
    </w:p>
    <w:p w14:paraId="05A25806" w14:textId="77777777" w:rsidR="00464F5C" w:rsidRPr="00687BBD" w:rsidRDefault="00464F5C" w:rsidP="00464F5C">
      <w:pPr>
        <w:numPr>
          <w:ilvl w:val="0"/>
          <w:numId w:val="9"/>
        </w:numPr>
        <w:spacing w:after="0" w:line="240" w:lineRule="auto"/>
        <w:rPr>
          <w:rFonts w:ascii="Arial" w:hAnsi="Arial" w:cs="Arial"/>
        </w:rPr>
      </w:pPr>
      <w:r w:rsidRPr="00687BBD">
        <w:rPr>
          <w:rFonts w:ascii="Arial" w:hAnsi="Arial" w:cs="Arial"/>
        </w:rPr>
        <w:t>Commonwealth Lawyers Association (CLA)</w:t>
      </w:r>
    </w:p>
    <w:p w14:paraId="681B073C" w14:textId="1246DCCC" w:rsidR="00464F5C" w:rsidRPr="00687BBD" w:rsidRDefault="00464F5C" w:rsidP="00464F5C">
      <w:pPr>
        <w:numPr>
          <w:ilvl w:val="0"/>
          <w:numId w:val="9"/>
        </w:numPr>
        <w:spacing w:after="0" w:line="240" w:lineRule="auto"/>
        <w:rPr>
          <w:rFonts w:ascii="Arial" w:hAnsi="Arial" w:cs="Arial"/>
        </w:rPr>
      </w:pPr>
      <w:r w:rsidRPr="00687BBD">
        <w:rPr>
          <w:rFonts w:ascii="Arial" w:hAnsi="Arial" w:cs="Arial"/>
        </w:rPr>
        <w:t>Probate Network</w:t>
      </w:r>
    </w:p>
    <w:p w14:paraId="33957FC3" w14:textId="4254C602" w:rsidR="00464F5C" w:rsidRPr="00687BBD" w:rsidRDefault="00464F5C" w:rsidP="00464F5C">
      <w:pPr>
        <w:numPr>
          <w:ilvl w:val="0"/>
          <w:numId w:val="9"/>
        </w:numPr>
        <w:spacing w:after="0" w:line="240" w:lineRule="auto"/>
        <w:rPr>
          <w:rFonts w:ascii="Arial" w:hAnsi="Arial" w:cs="Arial"/>
        </w:rPr>
      </w:pPr>
      <w:r w:rsidRPr="00687BBD">
        <w:rPr>
          <w:rFonts w:ascii="Arial" w:hAnsi="Arial" w:cs="Arial"/>
        </w:rPr>
        <w:t>Arbitral Women</w:t>
      </w:r>
    </w:p>
    <w:p w14:paraId="45F4BFBD" w14:textId="77777777" w:rsidR="00464F5C" w:rsidRPr="00687BBD" w:rsidRDefault="00464F5C" w:rsidP="00464F5C">
      <w:pPr>
        <w:spacing w:after="0" w:line="240" w:lineRule="auto"/>
        <w:ind w:left="720"/>
        <w:rPr>
          <w:rFonts w:ascii="Arial" w:hAnsi="Arial" w:cs="Arial"/>
        </w:rPr>
      </w:pPr>
    </w:p>
    <w:p w14:paraId="7487AFF3" w14:textId="77777777" w:rsidR="00464F5C" w:rsidRPr="00464F5C" w:rsidRDefault="00464F5C" w:rsidP="00464F5C">
      <w:pPr>
        <w:spacing w:before="100" w:beforeAutospacing="1" w:after="100" w:afterAutospacing="1" w:line="240" w:lineRule="auto"/>
        <w:ind w:left="720"/>
        <w:rPr>
          <w:rFonts w:ascii="Arial" w:eastAsia="Times New Roman" w:hAnsi="Arial" w:cs="Arial"/>
          <w:color w:val="000000"/>
          <w:kern w:val="0"/>
          <w:lang w:eastAsia="en-GB"/>
        </w:rPr>
      </w:pPr>
    </w:p>
    <w:p w14:paraId="0FCF4D0E" w14:textId="77777777" w:rsidR="00464F5C" w:rsidRPr="00687BBD" w:rsidRDefault="00464F5C">
      <w:pPr>
        <w:rPr>
          <w:rFonts w:ascii="Arial" w:hAnsi="Arial" w:cs="Arial"/>
        </w:rPr>
      </w:pPr>
    </w:p>
    <w:sectPr w:rsidR="00464F5C" w:rsidRPr="00687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4E7A"/>
    <w:multiLevelType w:val="multilevel"/>
    <w:tmpl w:val="A99A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E0318"/>
    <w:multiLevelType w:val="multilevel"/>
    <w:tmpl w:val="9A40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B0BA1"/>
    <w:multiLevelType w:val="multilevel"/>
    <w:tmpl w:val="8F90E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02ECA"/>
    <w:multiLevelType w:val="multilevel"/>
    <w:tmpl w:val="7F9A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E20EF"/>
    <w:multiLevelType w:val="multilevel"/>
    <w:tmpl w:val="5E5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D6609"/>
    <w:multiLevelType w:val="multilevel"/>
    <w:tmpl w:val="8402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F5910"/>
    <w:multiLevelType w:val="multilevel"/>
    <w:tmpl w:val="0E38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D08B3"/>
    <w:multiLevelType w:val="multilevel"/>
    <w:tmpl w:val="CCAA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50E08"/>
    <w:multiLevelType w:val="multilevel"/>
    <w:tmpl w:val="0640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92264"/>
    <w:multiLevelType w:val="multilevel"/>
    <w:tmpl w:val="0F04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751425">
    <w:abstractNumId w:val="8"/>
  </w:num>
  <w:num w:numId="2" w16cid:durableId="891890454">
    <w:abstractNumId w:val="0"/>
  </w:num>
  <w:num w:numId="3" w16cid:durableId="989795935">
    <w:abstractNumId w:val="1"/>
  </w:num>
  <w:num w:numId="4" w16cid:durableId="242448226">
    <w:abstractNumId w:val="5"/>
  </w:num>
  <w:num w:numId="5" w16cid:durableId="1570849924">
    <w:abstractNumId w:val="3"/>
  </w:num>
  <w:num w:numId="6" w16cid:durableId="814759834">
    <w:abstractNumId w:val="4"/>
  </w:num>
  <w:num w:numId="7" w16cid:durableId="388768262">
    <w:abstractNumId w:val="2"/>
  </w:num>
  <w:num w:numId="8" w16cid:durableId="1577547256">
    <w:abstractNumId w:val="6"/>
  </w:num>
  <w:num w:numId="9" w16cid:durableId="119884554">
    <w:abstractNumId w:val="7"/>
  </w:num>
  <w:num w:numId="10" w16cid:durableId="9268103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5C"/>
    <w:rsid w:val="000A52B7"/>
    <w:rsid w:val="00464F5C"/>
    <w:rsid w:val="00687BBD"/>
    <w:rsid w:val="009C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CD49"/>
  <w15:chartTrackingRefBased/>
  <w15:docId w15:val="{32CB3C84-883C-B443-A4AA-A4C0AC92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F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F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4F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64F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F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F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F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4F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64F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F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F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5C"/>
    <w:rPr>
      <w:rFonts w:eastAsiaTheme="majorEastAsia" w:cstheme="majorBidi"/>
      <w:color w:val="272727" w:themeColor="text1" w:themeTint="D8"/>
    </w:rPr>
  </w:style>
  <w:style w:type="paragraph" w:styleId="Title">
    <w:name w:val="Title"/>
    <w:basedOn w:val="Normal"/>
    <w:next w:val="Normal"/>
    <w:link w:val="TitleChar"/>
    <w:uiPriority w:val="10"/>
    <w:qFormat/>
    <w:rsid w:val="00464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5C"/>
    <w:pPr>
      <w:spacing w:before="160"/>
      <w:jc w:val="center"/>
    </w:pPr>
    <w:rPr>
      <w:i/>
      <w:iCs/>
      <w:color w:val="404040" w:themeColor="text1" w:themeTint="BF"/>
    </w:rPr>
  </w:style>
  <w:style w:type="character" w:customStyle="1" w:styleId="QuoteChar">
    <w:name w:val="Quote Char"/>
    <w:basedOn w:val="DefaultParagraphFont"/>
    <w:link w:val="Quote"/>
    <w:uiPriority w:val="29"/>
    <w:rsid w:val="00464F5C"/>
    <w:rPr>
      <w:i/>
      <w:iCs/>
      <w:color w:val="404040" w:themeColor="text1" w:themeTint="BF"/>
    </w:rPr>
  </w:style>
  <w:style w:type="paragraph" w:styleId="ListParagraph">
    <w:name w:val="List Paragraph"/>
    <w:basedOn w:val="Normal"/>
    <w:uiPriority w:val="34"/>
    <w:qFormat/>
    <w:rsid w:val="00464F5C"/>
    <w:pPr>
      <w:ind w:left="720"/>
      <w:contextualSpacing/>
    </w:pPr>
  </w:style>
  <w:style w:type="character" w:styleId="IntenseEmphasis">
    <w:name w:val="Intense Emphasis"/>
    <w:basedOn w:val="DefaultParagraphFont"/>
    <w:uiPriority w:val="21"/>
    <w:qFormat/>
    <w:rsid w:val="00464F5C"/>
    <w:rPr>
      <w:i/>
      <w:iCs/>
      <w:color w:val="0F4761" w:themeColor="accent1" w:themeShade="BF"/>
    </w:rPr>
  </w:style>
  <w:style w:type="paragraph" w:styleId="IntenseQuote">
    <w:name w:val="Intense Quote"/>
    <w:basedOn w:val="Normal"/>
    <w:next w:val="Normal"/>
    <w:link w:val="IntenseQuoteChar"/>
    <w:uiPriority w:val="30"/>
    <w:qFormat/>
    <w:rsid w:val="00464F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F5C"/>
    <w:rPr>
      <w:i/>
      <w:iCs/>
      <w:color w:val="0F4761" w:themeColor="accent1" w:themeShade="BF"/>
    </w:rPr>
  </w:style>
  <w:style w:type="character" w:styleId="IntenseReference">
    <w:name w:val="Intense Reference"/>
    <w:basedOn w:val="DefaultParagraphFont"/>
    <w:uiPriority w:val="32"/>
    <w:qFormat/>
    <w:rsid w:val="00464F5C"/>
    <w:rPr>
      <w:b/>
      <w:bCs/>
      <w:smallCaps/>
      <w:color w:val="0F4761" w:themeColor="accent1" w:themeShade="BF"/>
      <w:spacing w:val="5"/>
    </w:rPr>
  </w:style>
  <w:style w:type="character" w:styleId="Strong">
    <w:name w:val="Strong"/>
    <w:basedOn w:val="DefaultParagraphFont"/>
    <w:uiPriority w:val="22"/>
    <w:qFormat/>
    <w:rsid w:val="00464F5C"/>
    <w:rPr>
      <w:b/>
      <w:bCs/>
    </w:rPr>
  </w:style>
  <w:style w:type="character" w:styleId="Emphasis">
    <w:name w:val="Emphasis"/>
    <w:basedOn w:val="DefaultParagraphFont"/>
    <w:uiPriority w:val="20"/>
    <w:qFormat/>
    <w:rsid w:val="00464F5C"/>
    <w:rPr>
      <w:i/>
      <w:iCs/>
    </w:rPr>
  </w:style>
  <w:style w:type="character" w:customStyle="1" w:styleId="apple-converted-space">
    <w:name w:val="apple-converted-space"/>
    <w:basedOn w:val="DefaultParagraphFont"/>
    <w:rsid w:val="004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3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De Coteau</dc:creator>
  <cp:keywords/>
  <dc:description/>
  <cp:lastModifiedBy>Dawn De Coteau</cp:lastModifiedBy>
  <cp:revision>2</cp:revision>
  <dcterms:created xsi:type="dcterms:W3CDTF">2025-05-15T00:05:00Z</dcterms:created>
  <dcterms:modified xsi:type="dcterms:W3CDTF">2025-05-15T00:05:00Z</dcterms:modified>
</cp:coreProperties>
</file>